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B8C74" w14:textId="59D6AFC9" w:rsidR="003B4226" w:rsidRPr="001E560D" w:rsidRDefault="003B4226" w:rsidP="00074E79">
      <w:pPr>
        <w:tabs>
          <w:tab w:val="left" w:pos="2127"/>
        </w:tabs>
        <w:ind w:left="1276"/>
        <w:rPr>
          <w:rFonts w:ascii="Ping LCG Regular" w:hAnsi="Ping LCG Regular"/>
          <w:sz w:val="22"/>
          <w:szCs w:val="22"/>
        </w:rPr>
      </w:pPr>
    </w:p>
    <w:p w14:paraId="78FEF6AF" w14:textId="32CA072E" w:rsidR="003B4226" w:rsidRPr="003878E3" w:rsidRDefault="008376A1" w:rsidP="003B4226">
      <w:pPr>
        <w:tabs>
          <w:tab w:val="left" w:pos="2127"/>
        </w:tabs>
        <w:ind w:left="1276"/>
        <w:jc w:val="right"/>
        <w:rPr>
          <w:rFonts w:ascii="Ping LCG Regular" w:hAnsi="Ping LCG Regular"/>
          <w:sz w:val="22"/>
          <w:szCs w:val="22"/>
          <w:lang w:val="el-GR"/>
        </w:rPr>
      </w:pPr>
      <w:r w:rsidRPr="00D20CCB">
        <w:rPr>
          <w:rFonts w:ascii="Ping LCG Regular" w:hAnsi="Ping LCG Regular"/>
          <w:sz w:val="22"/>
          <w:szCs w:val="22"/>
          <w:lang w:val="el-GR"/>
        </w:rPr>
        <w:t>6</w:t>
      </w:r>
      <w:r w:rsidR="003B4226" w:rsidRPr="003878E3">
        <w:rPr>
          <w:rFonts w:ascii="Ping LCG Regular" w:hAnsi="Ping LCG Regular"/>
          <w:sz w:val="22"/>
          <w:szCs w:val="22"/>
          <w:lang w:val="el-GR"/>
        </w:rPr>
        <w:t xml:space="preserve"> </w:t>
      </w:r>
      <w:r>
        <w:rPr>
          <w:rFonts w:ascii="Ping LCG Regular" w:hAnsi="Ping LCG Regular"/>
          <w:sz w:val="22"/>
          <w:szCs w:val="22"/>
          <w:lang w:val="el-GR"/>
        </w:rPr>
        <w:t>Αυγούστου</w:t>
      </w:r>
      <w:r w:rsidR="003B4226" w:rsidRPr="003878E3">
        <w:rPr>
          <w:rFonts w:ascii="Ping LCG Regular" w:hAnsi="Ping LCG Regular"/>
          <w:sz w:val="22"/>
          <w:szCs w:val="22"/>
          <w:lang w:val="el-GR"/>
        </w:rPr>
        <w:t xml:space="preserve"> 2025</w:t>
      </w:r>
    </w:p>
    <w:p w14:paraId="684A9560" w14:textId="77777777" w:rsidR="003B4226" w:rsidRPr="00B460E7" w:rsidRDefault="003B4226" w:rsidP="003B4226">
      <w:pPr>
        <w:jc w:val="center"/>
        <w:rPr>
          <w:rFonts w:ascii="Ping LCG Regular" w:hAnsi="Ping LCG Regular" w:cstheme="minorHAnsi"/>
          <w:b/>
          <w:bCs/>
          <w:sz w:val="28"/>
          <w:szCs w:val="28"/>
          <w:highlight w:val="yellow"/>
          <w:lang w:val="el-GR"/>
        </w:rPr>
      </w:pPr>
    </w:p>
    <w:p w14:paraId="6B1853B5" w14:textId="77777777" w:rsidR="0032177B" w:rsidRPr="001E560D" w:rsidRDefault="003C285D" w:rsidP="004026AA">
      <w:pPr>
        <w:jc w:val="center"/>
        <w:rPr>
          <w:rFonts w:ascii="Ping LCG Regular" w:hAnsi="Ping LCG Regular" w:cstheme="minorHAnsi"/>
          <w:b/>
          <w:bCs/>
          <w:sz w:val="28"/>
          <w:szCs w:val="28"/>
          <w:lang w:val="el-GR"/>
        </w:rPr>
      </w:pPr>
      <w:r w:rsidRPr="0065422B">
        <w:rPr>
          <w:rFonts w:ascii="Ping LCG Regular" w:hAnsi="Ping LCG Regular" w:cstheme="minorHAnsi"/>
          <w:b/>
          <w:bCs/>
          <w:sz w:val="28"/>
          <w:szCs w:val="28"/>
          <w:lang w:val="el-GR"/>
        </w:rPr>
        <w:t>Π</w:t>
      </w:r>
      <w:r w:rsidR="004026AA" w:rsidRPr="0065422B">
        <w:rPr>
          <w:rFonts w:ascii="Ping LCG Regular" w:hAnsi="Ping LCG Regular" w:cstheme="minorHAnsi"/>
          <w:b/>
          <w:bCs/>
          <w:sz w:val="28"/>
          <w:szCs w:val="28"/>
          <w:lang w:val="el-GR"/>
        </w:rPr>
        <w:t>ροσαρμοσμένο EBITDA στα €</w:t>
      </w:r>
      <w:r w:rsidR="00316B64" w:rsidRPr="0065422B">
        <w:rPr>
          <w:rFonts w:ascii="Ping LCG Regular" w:hAnsi="Ping LCG Regular" w:cstheme="minorHAnsi"/>
          <w:b/>
          <w:bCs/>
          <w:sz w:val="28"/>
          <w:szCs w:val="28"/>
          <w:lang w:val="el-GR"/>
        </w:rPr>
        <w:t>1</w:t>
      </w:r>
      <w:r w:rsidR="00452832" w:rsidRPr="0065422B">
        <w:rPr>
          <w:rFonts w:ascii="Ping LCG Regular" w:hAnsi="Ping LCG Regular" w:cstheme="minorHAnsi"/>
          <w:b/>
          <w:bCs/>
          <w:sz w:val="28"/>
          <w:szCs w:val="28"/>
          <w:lang w:val="el-GR"/>
        </w:rPr>
        <w:t xml:space="preserve"> </w:t>
      </w:r>
      <w:r w:rsidR="00FC78D3" w:rsidRPr="0065422B">
        <w:rPr>
          <w:rFonts w:ascii="Ping LCG Regular" w:hAnsi="Ping LCG Regular" w:cstheme="minorHAnsi"/>
          <w:b/>
          <w:bCs/>
          <w:sz w:val="28"/>
          <w:szCs w:val="28"/>
          <w:lang w:val="el-GR"/>
        </w:rPr>
        <w:t>δισ.</w:t>
      </w:r>
      <w:r w:rsidR="004026AA" w:rsidRPr="0065422B">
        <w:rPr>
          <w:rFonts w:ascii="Ping LCG Regular" w:hAnsi="Ping LCG Regular" w:cstheme="minorHAnsi"/>
          <w:b/>
          <w:bCs/>
          <w:sz w:val="28"/>
          <w:szCs w:val="28"/>
          <w:lang w:val="el-GR"/>
        </w:rPr>
        <w:t xml:space="preserve"> </w:t>
      </w:r>
    </w:p>
    <w:p w14:paraId="2222467E" w14:textId="4CEAE9CE" w:rsidR="003B4226" w:rsidRPr="007571A5" w:rsidRDefault="004756D2" w:rsidP="004026AA">
      <w:pPr>
        <w:jc w:val="center"/>
        <w:rPr>
          <w:rFonts w:ascii="Ping LCG Regular" w:hAnsi="Ping LCG Regular" w:cstheme="minorHAnsi"/>
          <w:b/>
          <w:bCs/>
          <w:sz w:val="28"/>
          <w:szCs w:val="28"/>
          <w:lang w:val="el-GR"/>
        </w:rPr>
      </w:pPr>
      <w:r w:rsidRPr="0065422B">
        <w:rPr>
          <w:rFonts w:ascii="Ping LCG Regular" w:hAnsi="Ping LCG Regular" w:cstheme="minorHAnsi"/>
          <w:b/>
          <w:bCs/>
          <w:sz w:val="28"/>
          <w:szCs w:val="28"/>
          <w:lang w:val="el-GR"/>
        </w:rPr>
        <w:t>και καθαρά κέρδη στα €0,</w:t>
      </w:r>
      <w:r w:rsidR="00316B64" w:rsidRPr="0065422B">
        <w:rPr>
          <w:rFonts w:ascii="Ping LCG Regular" w:hAnsi="Ping LCG Regular" w:cstheme="minorHAnsi"/>
          <w:b/>
          <w:bCs/>
          <w:sz w:val="28"/>
          <w:szCs w:val="28"/>
          <w:lang w:val="el-GR"/>
        </w:rPr>
        <w:t>2</w:t>
      </w:r>
      <w:r w:rsidR="00BC6813" w:rsidRPr="0065422B">
        <w:rPr>
          <w:rFonts w:ascii="Ping LCG Regular" w:hAnsi="Ping LCG Regular" w:cstheme="minorHAnsi"/>
          <w:b/>
          <w:bCs/>
          <w:sz w:val="28"/>
          <w:szCs w:val="28"/>
          <w:lang w:val="el-GR"/>
        </w:rPr>
        <w:t xml:space="preserve"> </w:t>
      </w:r>
      <w:r w:rsidRPr="0065422B">
        <w:rPr>
          <w:rFonts w:ascii="Ping LCG Regular" w:hAnsi="Ping LCG Regular" w:cstheme="minorHAnsi"/>
          <w:b/>
          <w:bCs/>
          <w:sz w:val="28"/>
          <w:szCs w:val="28"/>
          <w:lang w:val="el-GR"/>
        </w:rPr>
        <w:t>δι</w:t>
      </w:r>
      <w:r w:rsidR="0094577D" w:rsidRPr="0065422B">
        <w:rPr>
          <w:rFonts w:ascii="Ping LCG Regular" w:hAnsi="Ping LCG Regular" w:cstheme="minorHAnsi"/>
          <w:b/>
          <w:bCs/>
          <w:sz w:val="28"/>
          <w:szCs w:val="28"/>
          <w:lang w:val="el-GR"/>
        </w:rPr>
        <w:t>σ</w:t>
      </w:r>
      <w:r w:rsidRPr="0065422B">
        <w:rPr>
          <w:rFonts w:ascii="Ping LCG Regular" w:hAnsi="Ping LCG Regular" w:cstheme="minorHAnsi"/>
          <w:b/>
          <w:bCs/>
          <w:sz w:val="28"/>
          <w:szCs w:val="28"/>
          <w:lang w:val="el-GR"/>
        </w:rPr>
        <w:t xml:space="preserve">. </w:t>
      </w:r>
      <w:r w:rsidR="004026AA" w:rsidRPr="0065422B">
        <w:rPr>
          <w:rFonts w:ascii="Ping LCG Regular" w:hAnsi="Ping LCG Regular" w:cstheme="minorHAnsi"/>
          <w:b/>
          <w:bCs/>
          <w:sz w:val="28"/>
          <w:szCs w:val="28"/>
          <w:lang w:val="el-GR"/>
        </w:rPr>
        <w:t>για το α΄</w:t>
      </w:r>
      <w:r w:rsidR="0037233E" w:rsidRPr="0065422B">
        <w:rPr>
          <w:rFonts w:ascii="Ping LCG Regular" w:hAnsi="Ping LCG Regular" w:cstheme="minorHAnsi"/>
          <w:b/>
          <w:bCs/>
          <w:sz w:val="28"/>
          <w:szCs w:val="28"/>
          <w:lang w:val="el-GR"/>
        </w:rPr>
        <w:t xml:space="preserve"> </w:t>
      </w:r>
      <w:r w:rsidR="004026AA" w:rsidRPr="0065422B">
        <w:rPr>
          <w:rFonts w:ascii="Ping LCG Regular" w:hAnsi="Ping LCG Regular" w:cstheme="minorHAnsi"/>
          <w:b/>
          <w:bCs/>
          <w:sz w:val="28"/>
          <w:szCs w:val="28"/>
          <w:lang w:val="el-GR"/>
        </w:rPr>
        <w:t>εξάμηνο 202</w:t>
      </w:r>
      <w:r w:rsidR="00FD42D0" w:rsidRPr="0065422B">
        <w:rPr>
          <w:rFonts w:ascii="Ping LCG Regular" w:hAnsi="Ping LCG Regular" w:cstheme="minorHAnsi"/>
          <w:b/>
          <w:bCs/>
          <w:sz w:val="28"/>
          <w:szCs w:val="28"/>
          <w:lang w:val="el-GR"/>
        </w:rPr>
        <w:t>5</w:t>
      </w:r>
    </w:p>
    <w:p w14:paraId="17F70DE4" w14:textId="77777777" w:rsidR="003B4226" w:rsidRPr="007571A5" w:rsidRDefault="003B4226" w:rsidP="003B4226">
      <w:pPr>
        <w:rPr>
          <w:rFonts w:ascii="Ping LCG Regular" w:hAnsi="Ping LCG Regular"/>
          <w:b/>
          <w:bCs/>
          <w:sz w:val="28"/>
          <w:szCs w:val="28"/>
          <w:lang w:val="el-GR"/>
        </w:rPr>
      </w:pPr>
    </w:p>
    <w:p w14:paraId="7C824D04" w14:textId="56A80B54" w:rsidR="00787502" w:rsidRPr="007571A5" w:rsidRDefault="007C57C8" w:rsidP="003B4226">
      <w:pPr>
        <w:pStyle w:val="ListParagraph"/>
        <w:numPr>
          <w:ilvl w:val="0"/>
          <w:numId w:val="4"/>
        </w:numPr>
        <w:spacing w:line="320" w:lineRule="atLeast"/>
        <w:ind w:left="357" w:hanging="215"/>
        <w:jc w:val="both"/>
        <w:rPr>
          <w:rFonts w:ascii="Ping LCG Regular" w:hAnsi="Ping LCG Regular"/>
          <w:i/>
          <w:sz w:val="22"/>
          <w:szCs w:val="22"/>
          <w:lang w:val="el-GR"/>
        </w:rPr>
      </w:pPr>
      <w:r w:rsidRPr="00F2030B">
        <w:rPr>
          <w:rFonts w:ascii="Ping LCG Regular" w:hAnsi="Ping LCG Regular"/>
          <w:i/>
          <w:sz w:val="22"/>
          <w:szCs w:val="22"/>
          <w:lang w:val="el-GR"/>
        </w:rPr>
        <w:t>Σταθερά αυξητική πορεία</w:t>
      </w:r>
      <w:r w:rsidR="0094577D">
        <w:rPr>
          <w:rFonts w:ascii="Ping LCG Regular" w:hAnsi="Ping LCG Regular"/>
          <w:i/>
          <w:sz w:val="22"/>
          <w:szCs w:val="22"/>
          <w:lang w:val="el-GR"/>
        </w:rPr>
        <w:t xml:space="preserve"> </w:t>
      </w:r>
      <w:r>
        <w:rPr>
          <w:rFonts w:ascii="Ping LCG Regular" w:hAnsi="Ping LCG Regular"/>
          <w:i/>
          <w:sz w:val="22"/>
          <w:szCs w:val="22"/>
          <w:lang w:val="el-GR"/>
        </w:rPr>
        <w:t xml:space="preserve">της </w:t>
      </w:r>
      <w:r w:rsidR="008550B7" w:rsidRPr="007571A5">
        <w:rPr>
          <w:rFonts w:ascii="Ping LCG Regular" w:hAnsi="Ping LCG Regular"/>
          <w:i/>
          <w:sz w:val="22"/>
          <w:szCs w:val="22"/>
          <w:lang w:val="el-GR"/>
        </w:rPr>
        <w:t>κερδοφορία</w:t>
      </w:r>
      <w:r>
        <w:rPr>
          <w:rFonts w:ascii="Ping LCG Regular" w:hAnsi="Ping LCG Regular"/>
          <w:i/>
          <w:sz w:val="22"/>
          <w:szCs w:val="22"/>
          <w:lang w:val="el-GR"/>
        </w:rPr>
        <w:t>ς</w:t>
      </w:r>
      <w:r w:rsidR="008550B7" w:rsidRPr="007571A5">
        <w:rPr>
          <w:rFonts w:ascii="Ping LCG Regular" w:hAnsi="Ping LCG Regular"/>
          <w:i/>
          <w:sz w:val="22"/>
          <w:szCs w:val="22"/>
          <w:lang w:val="el-GR"/>
        </w:rPr>
        <w:t xml:space="preserve">, </w:t>
      </w:r>
      <w:r w:rsidR="009126E7">
        <w:rPr>
          <w:rFonts w:ascii="Ping LCG Regular" w:hAnsi="Ping LCG Regular"/>
          <w:i/>
          <w:sz w:val="22"/>
          <w:szCs w:val="22"/>
          <w:lang w:val="el-GR"/>
        </w:rPr>
        <w:t>ως αποτέλεσμα των συνεχιζόμενων επενδ</w:t>
      </w:r>
      <w:r w:rsidR="00A14A94">
        <w:rPr>
          <w:rFonts w:ascii="Ping LCG Regular" w:hAnsi="Ping LCG Regular"/>
          <w:i/>
          <w:sz w:val="22"/>
          <w:szCs w:val="22"/>
          <w:lang w:val="el-GR"/>
        </w:rPr>
        <w:t xml:space="preserve">ύσεων </w:t>
      </w:r>
      <w:r w:rsidR="002074F3">
        <w:rPr>
          <w:rFonts w:ascii="Ping LCG Regular" w:hAnsi="Ping LCG Regular"/>
          <w:i/>
          <w:sz w:val="22"/>
          <w:szCs w:val="22"/>
          <w:lang w:val="el-GR"/>
        </w:rPr>
        <w:t>ύψους</w:t>
      </w:r>
      <w:r w:rsidR="00A14A94">
        <w:rPr>
          <w:rFonts w:ascii="Ping LCG Regular" w:hAnsi="Ping LCG Regular"/>
          <w:i/>
          <w:sz w:val="22"/>
          <w:szCs w:val="22"/>
          <w:lang w:val="el-GR"/>
        </w:rPr>
        <w:t xml:space="preserve"> €</w:t>
      </w:r>
      <w:r w:rsidR="00A27511" w:rsidRPr="00074E79">
        <w:rPr>
          <w:rFonts w:ascii="Ping LCG Regular" w:hAnsi="Ping LCG Regular"/>
          <w:i/>
          <w:sz w:val="22"/>
          <w:szCs w:val="22"/>
          <w:lang w:val="el-GR"/>
        </w:rPr>
        <w:t>6</w:t>
      </w:r>
      <w:r w:rsidR="00A14A94">
        <w:rPr>
          <w:rFonts w:ascii="Ping LCG Regular" w:hAnsi="Ping LCG Regular"/>
          <w:i/>
          <w:sz w:val="22"/>
          <w:szCs w:val="22"/>
          <w:lang w:val="el-GR"/>
        </w:rPr>
        <w:t xml:space="preserve"> δι</w:t>
      </w:r>
      <w:r w:rsidR="00C52E2B">
        <w:rPr>
          <w:rFonts w:ascii="Ping LCG Regular" w:hAnsi="Ping LCG Regular"/>
          <w:i/>
          <w:sz w:val="22"/>
          <w:szCs w:val="22"/>
          <w:lang w:val="el-GR"/>
        </w:rPr>
        <w:t>σ.</w:t>
      </w:r>
      <w:r w:rsidR="00A14A94">
        <w:rPr>
          <w:rFonts w:ascii="Ping LCG Regular" w:hAnsi="Ping LCG Regular"/>
          <w:i/>
          <w:sz w:val="22"/>
          <w:szCs w:val="22"/>
          <w:lang w:val="el-GR"/>
        </w:rPr>
        <w:t xml:space="preserve"> την προηγούμενη τριετία</w:t>
      </w:r>
    </w:p>
    <w:p w14:paraId="7BDCAD8E" w14:textId="4C8129A8" w:rsidR="003B4226" w:rsidRPr="007571A5" w:rsidRDefault="00664F46" w:rsidP="003B4226">
      <w:pPr>
        <w:pStyle w:val="ListParagraph"/>
        <w:numPr>
          <w:ilvl w:val="0"/>
          <w:numId w:val="4"/>
        </w:numPr>
        <w:spacing w:line="320" w:lineRule="atLeast"/>
        <w:ind w:left="357" w:hanging="215"/>
        <w:jc w:val="both"/>
        <w:rPr>
          <w:rFonts w:ascii="Ping LCG Regular" w:hAnsi="Ping LCG Regular"/>
          <w:i/>
          <w:iCs/>
          <w:sz w:val="22"/>
          <w:szCs w:val="22"/>
          <w:lang w:val="el-GR"/>
        </w:rPr>
      </w:pPr>
      <w:r w:rsidRPr="007571A5">
        <w:rPr>
          <w:rFonts w:ascii="Ping LCG Regular" w:hAnsi="Ping LCG Regular"/>
          <w:i/>
          <w:iCs/>
          <w:sz w:val="22"/>
          <w:szCs w:val="22"/>
          <w:lang w:val="el-GR"/>
        </w:rPr>
        <w:t>Επενδύσεις</w:t>
      </w:r>
      <w:r w:rsidR="001E28D2" w:rsidRPr="007571A5">
        <w:rPr>
          <w:rFonts w:ascii="Ping LCG Regular" w:hAnsi="Ping LCG Regular"/>
          <w:i/>
          <w:iCs/>
          <w:sz w:val="22"/>
          <w:szCs w:val="22"/>
          <w:lang w:val="el-GR"/>
        </w:rPr>
        <w:t xml:space="preserve"> </w:t>
      </w:r>
      <w:r w:rsidR="003B4226" w:rsidRPr="007571A5">
        <w:rPr>
          <w:rFonts w:ascii="Ping LCG Regular" w:hAnsi="Ping LCG Regular"/>
          <w:i/>
          <w:iCs/>
          <w:sz w:val="22"/>
          <w:szCs w:val="22"/>
          <w:lang w:val="el-GR"/>
        </w:rPr>
        <w:t>€</w:t>
      </w:r>
      <w:r w:rsidR="00C64301" w:rsidRPr="007571A5">
        <w:rPr>
          <w:rFonts w:ascii="Ping LCG Regular" w:hAnsi="Ping LCG Regular"/>
          <w:i/>
          <w:iCs/>
          <w:sz w:val="22"/>
          <w:szCs w:val="22"/>
          <w:lang w:val="el-GR"/>
        </w:rPr>
        <w:t>1</w:t>
      </w:r>
      <w:r w:rsidR="003E5F67" w:rsidRPr="007571A5">
        <w:rPr>
          <w:rFonts w:ascii="Ping LCG Regular" w:hAnsi="Ping LCG Regular"/>
          <w:i/>
          <w:iCs/>
          <w:sz w:val="22"/>
          <w:szCs w:val="22"/>
          <w:lang w:val="el-GR"/>
        </w:rPr>
        <w:t>,</w:t>
      </w:r>
      <w:r w:rsidR="007612A8" w:rsidRPr="006C7B44">
        <w:rPr>
          <w:rFonts w:ascii="Ping LCG Regular" w:hAnsi="Ping LCG Regular"/>
          <w:i/>
          <w:iCs/>
          <w:sz w:val="22"/>
          <w:szCs w:val="22"/>
          <w:lang w:val="el-GR"/>
        </w:rPr>
        <w:t>3</w:t>
      </w:r>
      <w:r w:rsidR="00247D46" w:rsidRPr="007571A5">
        <w:rPr>
          <w:rFonts w:ascii="Ping LCG Regular" w:hAnsi="Ping LCG Regular"/>
          <w:i/>
          <w:iCs/>
          <w:sz w:val="22"/>
          <w:szCs w:val="22"/>
          <w:lang w:val="el-GR"/>
        </w:rPr>
        <w:t xml:space="preserve"> </w:t>
      </w:r>
      <w:r w:rsidR="003E5F67" w:rsidRPr="007571A5">
        <w:rPr>
          <w:rFonts w:ascii="Ping LCG Regular" w:hAnsi="Ping LCG Regular"/>
          <w:i/>
          <w:iCs/>
          <w:sz w:val="22"/>
          <w:szCs w:val="22"/>
          <w:lang w:val="el-GR"/>
        </w:rPr>
        <w:t>δισ</w:t>
      </w:r>
      <w:r w:rsidR="003B4226" w:rsidRPr="007571A5">
        <w:rPr>
          <w:rFonts w:ascii="Ping LCG Regular" w:hAnsi="Ping LCG Regular"/>
          <w:i/>
          <w:iCs/>
          <w:sz w:val="22"/>
          <w:szCs w:val="22"/>
          <w:lang w:val="el-GR"/>
        </w:rPr>
        <w:t xml:space="preserve">. με </w:t>
      </w:r>
      <w:r w:rsidR="006621FF">
        <w:rPr>
          <w:rFonts w:ascii="Ping LCG Regular" w:hAnsi="Ping LCG Regular"/>
          <w:i/>
          <w:iCs/>
          <w:sz w:val="22"/>
          <w:szCs w:val="22"/>
          <w:lang w:val="el-GR"/>
        </w:rPr>
        <w:t>90</w:t>
      </w:r>
      <w:r w:rsidR="003B4226" w:rsidRPr="007571A5">
        <w:rPr>
          <w:rFonts w:ascii="Ping LCG Regular" w:hAnsi="Ping LCG Regular"/>
          <w:i/>
          <w:iCs/>
          <w:sz w:val="22"/>
          <w:szCs w:val="22"/>
          <w:lang w:val="el-GR"/>
        </w:rPr>
        <w:t xml:space="preserve">% αυτών σε ΑΠΕ, ευέλικτη παραγωγή και </w:t>
      </w:r>
      <w:r w:rsidR="00B611A1" w:rsidRPr="007571A5">
        <w:rPr>
          <w:rFonts w:ascii="Ping LCG Regular" w:hAnsi="Ping LCG Regular"/>
          <w:i/>
          <w:iCs/>
          <w:sz w:val="22"/>
          <w:szCs w:val="22"/>
          <w:lang w:val="el-GR"/>
        </w:rPr>
        <w:t>δ</w:t>
      </w:r>
      <w:r w:rsidR="003B4226" w:rsidRPr="007571A5">
        <w:rPr>
          <w:rFonts w:ascii="Ping LCG Regular" w:hAnsi="Ping LCG Regular"/>
          <w:i/>
          <w:iCs/>
          <w:sz w:val="22"/>
          <w:szCs w:val="22"/>
          <w:lang w:val="el-GR"/>
        </w:rPr>
        <w:t>ιανομή</w:t>
      </w:r>
      <w:r w:rsidR="000C0625" w:rsidRPr="007571A5">
        <w:rPr>
          <w:rFonts w:ascii="Ping LCG Regular" w:hAnsi="Ping LCG Regular"/>
          <w:i/>
          <w:iCs/>
          <w:sz w:val="22"/>
          <w:szCs w:val="22"/>
          <w:lang w:val="el-GR"/>
        </w:rPr>
        <w:t xml:space="preserve"> </w:t>
      </w:r>
    </w:p>
    <w:p w14:paraId="2581E260" w14:textId="0F0A8282" w:rsidR="004A68AE" w:rsidRDefault="007C57C8" w:rsidP="00554F0E">
      <w:pPr>
        <w:pStyle w:val="ListParagraph"/>
        <w:numPr>
          <w:ilvl w:val="0"/>
          <w:numId w:val="4"/>
        </w:numPr>
        <w:spacing w:line="320" w:lineRule="atLeast"/>
        <w:ind w:left="357" w:hanging="215"/>
        <w:jc w:val="both"/>
        <w:rPr>
          <w:rFonts w:ascii="Ping LCG Regular" w:hAnsi="Ping LCG Regular"/>
          <w:i/>
          <w:iCs/>
          <w:sz w:val="22"/>
          <w:szCs w:val="22"/>
          <w:lang w:val="el-GR"/>
        </w:rPr>
      </w:pPr>
      <w:r>
        <w:rPr>
          <w:rFonts w:ascii="Ping LCG Regular" w:hAnsi="Ping LCG Regular"/>
          <w:i/>
          <w:iCs/>
          <w:sz w:val="22"/>
          <w:szCs w:val="22"/>
          <w:lang w:val="el-GR"/>
        </w:rPr>
        <w:t xml:space="preserve">Αύξηση </w:t>
      </w:r>
      <w:r w:rsidR="00654B85">
        <w:rPr>
          <w:rFonts w:ascii="Ping LCG Regular" w:hAnsi="Ping LCG Regular"/>
          <w:i/>
          <w:iCs/>
          <w:sz w:val="22"/>
          <w:szCs w:val="22"/>
          <w:lang w:val="el-GR"/>
        </w:rPr>
        <w:t>ε</w:t>
      </w:r>
      <w:r w:rsidR="00654B85" w:rsidRPr="007571A5">
        <w:rPr>
          <w:rFonts w:ascii="Ping LCG Regular" w:hAnsi="Ping LCG Regular"/>
          <w:i/>
          <w:iCs/>
          <w:sz w:val="22"/>
          <w:szCs w:val="22"/>
          <w:lang w:val="el-GR"/>
        </w:rPr>
        <w:t>γκατεστημένη</w:t>
      </w:r>
      <w:r w:rsidR="00654B85">
        <w:rPr>
          <w:rFonts w:ascii="Ping LCG Regular" w:hAnsi="Ping LCG Regular"/>
          <w:i/>
          <w:iCs/>
          <w:sz w:val="22"/>
          <w:szCs w:val="22"/>
          <w:lang w:val="el-GR"/>
        </w:rPr>
        <w:t>ς</w:t>
      </w:r>
      <w:r w:rsidR="00654B85" w:rsidRPr="007571A5">
        <w:rPr>
          <w:rFonts w:ascii="Ping LCG Regular" w:hAnsi="Ping LCG Regular"/>
          <w:i/>
          <w:iCs/>
          <w:sz w:val="22"/>
          <w:szCs w:val="22"/>
          <w:lang w:val="el-GR"/>
        </w:rPr>
        <w:t xml:space="preserve"> </w:t>
      </w:r>
      <w:r w:rsidR="003B4226" w:rsidRPr="007571A5">
        <w:rPr>
          <w:rFonts w:ascii="Ping LCG Regular" w:hAnsi="Ping LCG Regular"/>
          <w:i/>
          <w:iCs/>
          <w:sz w:val="22"/>
          <w:szCs w:val="22"/>
          <w:lang w:val="el-GR"/>
        </w:rPr>
        <w:t>ισχύ</w:t>
      </w:r>
      <w:r w:rsidR="00654B85">
        <w:rPr>
          <w:rFonts w:ascii="Ping LCG Regular" w:hAnsi="Ping LCG Regular"/>
          <w:i/>
          <w:iCs/>
          <w:sz w:val="22"/>
          <w:szCs w:val="22"/>
          <w:lang w:val="el-GR"/>
        </w:rPr>
        <w:t>ο</w:t>
      </w:r>
      <w:r w:rsidR="003B4226" w:rsidRPr="007571A5">
        <w:rPr>
          <w:rFonts w:ascii="Ping LCG Regular" w:hAnsi="Ping LCG Regular"/>
          <w:i/>
          <w:iCs/>
          <w:sz w:val="22"/>
          <w:szCs w:val="22"/>
          <w:lang w:val="el-GR"/>
        </w:rPr>
        <w:t xml:space="preserve">ς </w:t>
      </w:r>
      <w:r w:rsidR="00654B85">
        <w:rPr>
          <w:rFonts w:ascii="Ping LCG Regular" w:hAnsi="Ping LCG Regular"/>
          <w:i/>
          <w:iCs/>
          <w:sz w:val="22"/>
          <w:szCs w:val="22"/>
          <w:lang w:val="el-GR"/>
        </w:rPr>
        <w:t>από</w:t>
      </w:r>
      <w:r w:rsidR="00654B85" w:rsidRPr="007571A5">
        <w:rPr>
          <w:rFonts w:ascii="Ping LCG Regular" w:hAnsi="Ping LCG Regular"/>
          <w:i/>
          <w:iCs/>
          <w:sz w:val="22"/>
          <w:szCs w:val="22"/>
          <w:lang w:val="el-GR"/>
        </w:rPr>
        <w:t xml:space="preserve"> </w:t>
      </w:r>
      <w:r w:rsidR="003B4226" w:rsidRPr="007571A5">
        <w:rPr>
          <w:rFonts w:ascii="Ping LCG Regular" w:hAnsi="Ping LCG Regular"/>
          <w:i/>
          <w:iCs/>
          <w:sz w:val="22"/>
          <w:szCs w:val="22"/>
          <w:lang w:val="el-GR"/>
        </w:rPr>
        <w:t>ΑΠΕ</w:t>
      </w:r>
      <w:r w:rsidR="003B4226" w:rsidRPr="005B7E68">
        <w:rPr>
          <w:rFonts w:ascii="Ping LCG Regular" w:hAnsi="Ping LCG Regular"/>
          <w:i/>
          <w:iCs/>
          <w:sz w:val="22"/>
          <w:szCs w:val="22"/>
          <w:lang w:val="el-GR"/>
        </w:rPr>
        <w:t xml:space="preserve"> </w:t>
      </w:r>
      <w:r w:rsidR="00654B85">
        <w:rPr>
          <w:rFonts w:ascii="Ping LCG Regular" w:hAnsi="Ping LCG Regular"/>
          <w:i/>
          <w:iCs/>
          <w:sz w:val="22"/>
          <w:szCs w:val="22"/>
          <w:lang w:val="el-GR"/>
        </w:rPr>
        <w:t>σε</w:t>
      </w:r>
      <w:r w:rsidR="00654B85" w:rsidRPr="005B7E68">
        <w:rPr>
          <w:rFonts w:ascii="Ping LCG Regular" w:hAnsi="Ping LCG Regular"/>
          <w:i/>
          <w:iCs/>
          <w:sz w:val="22"/>
          <w:szCs w:val="22"/>
          <w:lang w:val="el-GR"/>
        </w:rPr>
        <w:t xml:space="preserve"> </w:t>
      </w:r>
      <w:r w:rsidR="003B4226" w:rsidRPr="005B7E68">
        <w:rPr>
          <w:rFonts w:ascii="Ping LCG Regular" w:hAnsi="Ping LCG Regular"/>
          <w:i/>
          <w:iCs/>
          <w:sz w:val="22"/>
          <w:szCs w:val="22"/>
          <w:lang w:val="el-GR"/>
        </w:rPr>
        <w:t>6,</w:t>
      </w:r>
      <w:r w:rsidR="000923AE" w:rsidRPr="005B7E68">
        <w:rPr>
          <w:rFonts w:ascii="Ping LCG Regular" w:hAnsi="Ping LCG Regular"/>
          <w:i/>
          <w:iCs/>
          <w:sz w:val="22"/>
          <w:szCs w:val="22"/>
          <w:lang w:val="el-GR"/>
        </w:rPr>
        <w:t>3</w:t>
      </w:r>
      <w:r w:rsidR="003B4226" w:rsidRPr="005B7E68">
        <w:rPr>
          <w:rFonts w:ascii="Ping LCG Regular" w:hAnsi="Ping LCG Regular"/>
          <w:i/>
          <w:iCs/>
          <w:sz w:val="22"/>
          <w:szCs w:val="22"/>
        </w:rPr>
        <w:t>GW</w:t>
      </w:r>
    </w:p>
    <w:p w14:paraId="6D90CD6E" w14:textId="04753ADD" w:rsidR="00406407" w:rsidRDefault="004A68AE" w:rsidP="004A68AE">
      <w:pPr>
        <w:pStyle w:val="ListParagraph"/>
        <w:numPr>
          <w:ilvl w:val="1"/>
          <w:numId w:val="4"/>
        </w:numPr>
        <w:spacing w:line="320" w:lineRule="atLeast"/>
        <w:jc w:val="both"/>
        <w:rPr>
          <w:rFonts w:ascii="Ping LCG Regular" w:hAnsi="Ping LCG Regular"/>
          <w:i/>
          <w:iCs/>
          <w:sz w:val="22"/>
          <w:szCs w:val="22"/>
          <w:lang w:val="el-GR"/>
        </w:rPr>
      </w:pPr>
      <w:r>
        <w:rPr>
          <w:rFonts w:ascii="Ping LCG Regular" w:hAnsi="Ping LCG Regular"/>
          <w:i/>
          <w:iCs/>
          <w:sz w:val="22"/>
          <w:szCs w:val="22"/>
          <w:lang w:val="el-GR"/>
        </w:rPr>
        <w:t>Νέα</w:t>
      </w:r>
      <w:r w:rsidR="00A553BD" w:rsidRPr="005B7E68">
        <w:rPr>
          <w:rFonts w:ascii="Ping LCG Regular" w:hAnsi="Ping LCG Regular"/>
          <w:i/>
          <w:iCs/>
          <w:sz w:val="22"/>
          <w:szCs w:val="22"/>
          <w:lang w:val="el-GR"/>
        </w:rPr>
        <w:t xml:space="preserve"> έργα 0,9</w:t>
      </w:r>
      <w:r w:rsidR="00A553BD" w:rsidRPr="005B7E68">
        <w:rPr>
          <w:rFonts w:ascii="Ping LCG Regular" w:hAnsi="Ping LCG Regular"/>
          <w:i/>
          <w:iCs/>
          <w:sz w:val="22"/>
          <w:szCs w:val="22"/>
        </w:rPr>
        <w:t>GW</w:t>
      </w:r>
      <w:r w:rsidR="00A553BD" w:rsidRPr="005B7E68">
        <w:rPr>
          <w:rFonts w:ascii="Ping LCG Regular" w:hAnsi="Ping LCG Regular"/>
          <w:i/>
          <w:iCs/>
          <w:sz w:val="22"/>
          <w:szCs w:val="22"/>
          <w:lang w:val="el-GR"/>
        </w:rPr>
        <w:t xml:space="preserve"> στο στάδιο της κατασκευής </w:t>
      </w:r>
      <w:r w:rsidR="00E851C1">
        <w:rPr>
          <w:rFonts w:ascii="Ping LCG Regular" w:hAnsi="Ping LCG Regular"/>
          <w:i/>
          <w:iCs/>
          <w:sz w:val="22"/>
          <w:szCs w:val="22"/>
          <w:lang w:val="el-GR"/>
        </w:rPr>
        <w:t>το</w:t>
      </w:r>
      <w:r w:rsidR="00A553BD" w:rsidRPr="005B7E68">
        <w:rPr>
          <w:rFonts w:ascii="Ping LCG Regular" w:hAnsi="Ping LCG Regular"/>
          <w:i/>
          <w:iCs/>
          <w:sz w:val="22"/>
          <w:szCs w:val="22"/>
          <w:lang w:val="el-GR"/>
        </w:rPr>
        <w:t xml:space="preserve"> β’ </w:t>
      </w:r>
      <w:r w:rsidR="00E851C1">
        <w:rPr>
          <w:rFonts w:ascii="Ping LCG Regular" w:hAnsi="Ping LCG Regular"/>
          <w:i/>
          <w:iCs/>
          <w:sz w:val="22"/>
          <w:szCs w:val="22"/>
          <w:lang w:val="el-GR"/>
        </w:rPr>
        <w:t>τρίμηνο</w:t>
      </w:r>
      <w:r w:rsidR="00E851C1" w:rsidRPr="005B7E68">
        <w:rPr>
          <w:rFonts w:ascii="Ping LCG Regular" w:hAnsi="Ping LCG Regular"/>
          <w:i/>
          <w:iCs/>
          <w:sz w:val="22"/>
          <w:szCs w:val="22"/>
          <w:lang w:val="el-GR"/>
        </w:rPr>
        <w:t xml:space="preserve"> </w:t>
      </w:r>
      <w:r w:rsidR="00A553BD" w:rsidRPr="005B7E68">
        <w:rPr>
          <w:rFonts w:ascii="Ping LCG Regular" w:hAnsi="Ping LCG Regular"/>
          <w:i/>
          <w:iCs/>
          <w:sz w:val="22"/>
          <w:szCs w:val="22"/>
          <w:lang w:val="el-GR"/>
        </w:rPr>
        <w:t>2025</w:t>
      </w:r>
    </w:p>
    <w:p w14:paraId="0CE87EE0" w14:textId="03975777" w:rsidR="00A553BD" w:rsidRPr="005B7E68" w:rsidRDefault="00406407" w:rsidP="002A103C">
      <w:pPr>
        <w:pStyle w:val="ListParagraph"/>
        <w:numPr>
          <w:ilvl w:val="1"/>
          <w:numId w:val="4"/>
        </w:numPr>
        <w:spacing w:line="320" w:lineRule="atLeast"/>
        <w:jc w:val="both"/>
        <w:rPr>
          <w:rFonts w:ascii="Ping LCG Regular" w:hAnsi="Ping LCG Regular"/>
          <w:i/>
          <w:iCs/>
          <w:sz w:val="22"/>
          <w:szCs w:val="22"/>
          <w:lang w:val="el-GR"/>
        </w:rPr>
      </w:pPr>
      <w:r>
        <w:rPr>
          <w:rFonts w:ascii="Ping LCG Regular" w:hAnsi="Ping LCG Regular"/>
          <w:i/>
          <w:iCs/>
          <w:sz w:val="22"/>
          <w:szCs w:val="22"/>
          <w:lang w:val="el-GR"/>
        </w:rPr>
        <w:t>Στα 3,7</w:t>
      </w:r>
      <w:r>
        <w:rPr>
          <w:rFonts w:ascii="Ping LCG Regular" w:hAnsi="Ping LCG Regular"/>
          <w:i/>
          <w:iCs/>
          <w:sz w:val="22"/>
          <w:szCs w:val="22"/>
        </w:rPr>
        <w:t>GW</w:t>
      </w:r>
      <w:r w:rsidR="00A553BD" w:rsidRPr="005B7E68">
        <w:rPr>
          <w:rFonts w:ascii="Ping LCG Regular" w:hAnsi="Ping LCG Regular"/>
          <w:i/>
          <w:iCs/>
          <w:sz w:val="22"/>
          <w:szCs w:val="22"/>
          <w:lang w:val="el-GR"/>
        </w:rPr>
        <w:t xml:space="preserve"> τα συνολικά έργα υπό κατασκευή ή έτοιμα προς κατασκευή </w:t>
      </w:r>
      <w:r w:rsidR="002241D7" w:rsidRPr="00261FC8">
        <w:rPr>
          <w:rFonts w:ascii="Ping LCG Regular" w:hAnsi="Ping LCG Regular"/>
          <w:i/>
          <w:iCs/>
          <w:sz w:val="22"/>
          <w:szCs w:val="22"/>
          <w:lang w:val="el-GR"/>
        </w:rPr>
        <w:t xml:space="preserve"> </w:t>
      </w:r>
    </w:p>
    <w:p w14:paraId="24123CD2" w14:textId="26777761" w:rsidR="00084467" w:rsidRPr="00553AAA" w:rsidRDefault="00B349B5" w:rsidP="003B4226">
      <w:pPr>
        <w:pStyle w:val="ListParagraph"/>
        <w:numPr>
          <w:ilvl w:val="0"/>
          <w:numId w:val="4"/>
        </w:numPr>
        <w:spacing w:line="320" w:lineRule="atLeast"/>
        <w:ind w:left="357" w:hanging="215"/>
        <w:jc w:val="both"/>
        <w:rPr>
          <w:rFonts w:ascii="Ping LCG Regular" w:hAnsi="Ping LCG Regular"/>
          <w:i/>
          <w:iCs/>
          <w:sz w:val="22"/>
          <w:szCs w:val="22"/>
          <w:lang w:val="el-GR"/>
        </w:rPr>
      </w:pPr>
      <w:r>
        <w:rPr>
          <w:rFonts w:ascii="Ping LCG Regular" w:hAnsi="Ping LCG Regular"/>
          <w:i/>
          <w:iCs/>
          <w:sz w:val="22"/>
          <w:szCs w:val="22"/>
          <w:lang w:val="el-GR"/>
        </w:rPr>
        <w:t>Π</w:t>
      </w:r>
      <w:r w:rsidR="0069089E" w:rsidRPr="00835A57">
        <w:rPr>
          <w:rFonts w:ascii="Ping LCG Regular" w:hAnsi="Ping LCG Regular"/>
          <w:i/>
          <w:iCs/>
          <w:sz w:val="22"/>
          <w:szCs w:val="22"/>
          <w:lang w:val="el-GR"/>
        </w:rPr>
        <w:t xml:space="preserve">αραγωγή </w:t>
      </w:r>
      <w:r w:rsidR="0069089E" w:rsidRPr="00371E92">
        <w:rPr>
          <w:rFonts w:ascii="Ping LCG Regular" w:hAnsi="Ping LCG Regular"/>
          <w:i/>
          <w:iCs/>
          <w:sz w:val="22"/>
          <w:szCs w:val="22"/>
          <w:lang w:val="el-GR"/>
        </w:rPr>
        <w:t>από ΑΠΕ στο 32% του συνολικού ενεργειακού μείγματος της ΔΕΗ</w:t>
      </w:r>
      <w:r w:rsidR="006539DB">
        <w:rPr>
          <w:rFonts w:ascii="Ping LCG Regular" w:hAnsi="Ping LCG Regular"/>
          <w:i/>
          <w:iCs/>
          <w:sz w:val="22"/>
          <w:szCs w:val="22"/>
          <w:lang w:val="el-GR"/>
        </w:rPr>
        <w:t xml:space="preserve"> </w:t>
      </w:r>
      <w:r w:rsidR="008B76ED">
        <w:rPr>
          <w:rFonts w:ascii="Ping LCG Regular" w:hAnsi="Ping LCG Regular"/>
          <w:i/>
          <w:iCs/>
          <w:sz w:val="22"/>
          <w:szCs w:val="22"/>
          <w:lang w:val="el-GR"/>
        </w:rPr>
        <w:t xml:space="preserve">με </w:t>
      </w:r>
      <w:r w:rsidR="0069089E" w:rsidRPr="00553AAA">
        <w:rPr>
          <w:rFonts w:ascii="Ping LCG Regular" w:hAnsi="Ping LCG Regular"/>
          <w:i/>
          <w:iCs/>
          <w:sz w:val="22"/>
          <w:szCs w:val="22"/>
          <w:lang w:val="el-GR"/>
        </w:rPr>
        <w:t>στόχο την πλήρη έξοδο από τον λιγνίτη το 2026</w:t>
      </w:r>
    </w:p>
    <w:p w14:paraId="48870C37" w14:textId="751AA6B4" w:rsidR="003B4226" w:rsidRPr="00F625F0" w:rsidRDefault="00553AAA" w:rsidP="003B4226">
      <w:pPr>
        <w:pStyle w:val="ListParagraph"/>
        <w:numPr>
          <w:ilvl w:val="0"/>
          <w:numId w:val="4"/>
        </w:numPr>
        <w:spacing w:line="320" w:lineRule="atLeast"/>
        <w:ind w:left="357" w:hanging="215"/>
        <w:jc w:val="both"/>
        <w:rPr>
          <w:rFonts w:ascii="Ping LCG Regular" w:hAnsi="Ping LCG Regular"/>
          <w:i/>
          <w:iCs/>
          <w:sz w:val="22"/>
          <w:szCs w:val="22"/>
          <w:lang w:val="el-GR"/>
        </w:rPr>
      </w:pPr>
      <w:r w:rsidRPr="00F625F0">
        <w:rPr>
          <w:rFonts w:ascii="Ping LCG Regular" w:hAnsi="Ping LCG Regular"/>
          <w:i/>
          <w:iCs/>
          <w:sz w:val="22"/>
          <w:szCs w:val="22"/>
          <w:lang w:val="el-GR"/>
        </w:rPr>
        <w:t xml:space="preserve">Νέα </w:t>
      </w:r>
      <w:r w:rsidR="006539DB" w:rsidRPr="00F625F0">
        <w:rPr>
          <w:rFonts w:ascii="Ping LCG Regular" w:hAnsi="Ping LCG Regular"/>
          <w:i/>
          <w:iCs/>
          <w:sz w:val="22"/>
          <w:szCs w:val="22"/>
          <w:lang w:val="el-GR"/>
        </w:rPr>
        <w:t>βελτίωση</w:t>
      </w:r>
      <w:r w:rsidR="004B5FE7" w:rsidRPr="00F625F0">
        <w:rPr>
          <w:rFonts w:ascii="Ping LCG Regular" w:hAnsi="Ping LCG Regular"/>
          <w:i/>
          <w:iCs/>
          <w:sz w:val="22"/>
          <w:szCs w:val="22"/>
          <w:lang w:val="el-GR"/>
        </w:rPr>
        <w:t xml:space="preserve"> αξιολόγησης σε θέματα </w:t>
      </w:r>
      <w:r w:rsidR="004B5FE7" w:rsidRPr="00F625F0">
        <w:rPr>
          <w:rFonts w:ascii="Ping LCG Regular" w:hAnsi="Ping LCG Regular"/>
          <w:i/>
          <w:iCs/>
          <w:sz w:val="22"/>
          <w:szCs w:val="22"/>
        </w:rPr>
        <w:t>ESG</w:t>
      </w:r>
      <w:r w:rsidR="004B5FE7" w:rsidRPr="00F625F0">
        <w:rPr>
          <w:rFonts w:ascii="Ping LCG Regular" w:hAnsi="Ping LCG Regular"/>
          <w:i/>
          <w:iCs/>
          <w:sz w:val="22"/>
          <w:szCs w:val="22"/>
          <w:lang w:val="el-GR"/>
        </w:rPr>
        <w:t xml:space="preserve"> </w:t>
      </w:r>
      <w:r w:rsidR="003B4226" w:rsidRPr="00F625F0">
        <w:rPr>
          <w:rFonts w:ascii="Ping LCG Regular" w:hAnsi="Ping LCG Regular"/>
          <w:i/>
          <w:iCs/>
          <w:sz w:val="22"/>
          <w:szCs w:val="22"/>
          <w:lang w:val="el-GR"/>
        </w:rPr>
        <w:t>(Περιβάλλον, Κοινωνία, Διακυβέρνηση)</w:t>
      </w:r>
      <w:r w:rsidR="004B5FE7" w:rsidRPr="00F625F0">
        <w:rPr>
          <w:rFonts w:ascii="Ping LCG Regular" w:hAnsi="Ping LCG Regular"/>
          <w:i/>
          <w:iCs/>
          <w:sz w:val="22"/>
          <w:szCs w:val="22"/>
          <w:lang w:val="el-GR"/>
        </w:rPr>
        <w:t xml:space="preserve"> από τον διεθνή οίκο </w:t>
      </w:r>
      <w:r w:rsidR="004B5FE7" w:rsidRPr="00F625F0">
        <w:rPr>
          <w:rFonts w:ascii="Ping LCG Regular" w:hAnsi="Ping LCG Regular"/>
          <w:i/>
          <w:iCs/>
          <w:sz w:val="22"/>
          <w:szCs w:val="22"/>
        </w:rPr>
        <w:t>Sustainalytics</w:t>
      </w:r>
    </w:p>
    <w:p w14:paraId="3B0CF3E9" w14:textId="3004CB79" w:rsidR="002B789D" w:rsidRPr="00371E92" w:rsidRDefault="002B789D" w:rsidP="002B789D">
      <w:pPr>
        <w:pStyle w:val="ListParagraph"/>
        <w:numPr>
          <w:ilvl w:val="0"/>
          <w:numId w:val="4"/>
        </w:numPr>
        <w:spacing w:line="320" w:lineRule="atLeast"/>
        <w:ind w:left="357" w:hanging="215"/>
        <w:jc w:val="both"/>
        <w:rPr>
          <w:rFonts w:ascii="Ping LCG Regular" w:hAnsi="Ping LCG Regular"/>
          <w:i/>
          <w:iCs/>
          <w:sz w:val="22"/>
          <w:szCs w:val="22"/>
          <w:lang w:val="el-GR"/>
        </w:rPr>
      </w:pPr>
      <w:r w:rsidRPr="002B789D">
        <w:rPr>
          <w:rFonts w:ascii="Ping LCG Regular" w:hAnsi="Ping LCG Regular"/>
          <w:i/>
          <w:iCs/>
          <w:sz w:val="22"/>
          <w:szCs w:val="22"/>
          <w:lang w:val="el-GR"/>
        </w:rPr>
        <w:t>Ισχυρός ισολογισμός που στηρίζει την αναπτυξιακή πορεία και τις σημαντικές επενδύσεις</w:t>
      </w:r>
      <w:r>
        <w:rPr>
          <w:rFonts w:ascii="Ping LCG Regular" w:hAnsi="Ping LCG Regular"/>
          <w:i/>
          <w:iCs/>
          <w:sz w:val="22"/>
          <w:szCs w:val="22"/>
          <w:lang w:val="el-GR"/>
        </w:rPr>
        <w:t xml:space="preserve">, </w:t>
      </w:r>
      <w:r w:rsidRPr="00371E92">
        <w:rPr>
          <w:rFonts w:ascii="Ping LCG Regular" w:hAnsi="Ping LCG Regular"/>
          <w:i/>
          <w:iCs/>
          <w:sz w:val="22"/>
          <w:szCs w:val="22"/>
          <w:lang w:val="el-GR"/>
        </w:rPr>
        <w:t xml:space="preserve">με τον δείκτη Καθαρό Χρέος/EBITDA στο 3,2x </w:t>
      </w:r>
      <w:r>
        <w:rPr>
          <w:rFonts w:ascii="Ping LCG Regular" w:hAnsi="Ping LCG Regular"/>
          <w:i/>
          <w:iCs/>
          <w:sz w:val="22"/>
          <w:szCs w:val="22"/>
          <w:lang w:val="el-GR"/>
        </w:rPr>
        <w:t>ακολουθώντας τις προβλέψεις του Επιχειρηματικού Σχεδίου</w:t>
      </w:r>
    </w:p>
    <w:p w14:paraId="6D9FFAC6" w14:textId="58754E00" w:rsidR="00C54C97" w:rsidRDefault="00A268D7" w:rsidP="003B4226">
      <w:pPr>
        <w:pStyle w:val="ListParagraph"/>
        <w:numPr>
          <w:ilvl w:val="0"/>
          <w:numId w:val="4"/>
        </w:numPr>
        <w:spacing w:line="320" w:lineRule="atLeast"/>
        <w:ind w:left="357" w:hanging="215"/>
        <w:jc w:val="both"/>
        <w:rPr>
          <w:rFonts w:ascii="Ping LCG Regular" w:hAnsi="Ping LCG Regular"/>
          <w:i/>
          <w:iCs/>
          <w:sz w:val="22"/>
          <w:szCs w:val="22"/>
          <w:lang w:val="el-GR"/>
        </w:rPr>
      </w:pPr>
      <w:r>
        <w:rPr>
          <w:rFonts w:ascii="Ping LCG Regular" w:hAnsi="Ping LCG Regular"/>
          <w:i/>
          <w:iCs/>
          <w:sz w:val="22"/>
          <w:szCs w:val="22"/>
          <w:lang w:val="el-GR"/>
        </w:rPr>
        <w:t xml:space="preserve">Σε πορεία επίτευξης </w:t>
      </w:r>
      <w:r w:rsidR="00233417">
        <w:rPr>
          <w:rFonts w:ascii="Ping LCG Regular" w:hAnsi="Ping LCG Regular"/>
          <w:i/>
          <w:iCs/>
          <w:sz w:val="22"/>
          <w:szCs w:val="22"/>
          <w:lang w:val="el-GR"/>
        </w:rPr>
        <w:t xml:space="preserve">του στόχου για </w:t>
      </w:r>
      <w:r w:rsidR="00C54C97" w:rsidRPr="00371E92">
        <w:rPr>
          <w:rFonts w:ascii="Ping LCG Regular" w:hAnsi="Ping LCG Regular"/>
          <w:i/>
          <w:iCs/>
          <w:sz w:val="22"/>
          <w:szCs w:val="22"/>
          <w:lang w:val="el-GR"/>
        </w:rPr>
        <w:t>προσαρμοσμένο EBITDA €2 δισ.</w:t>
      </w:r>
      <w:r w:rsidR="00233417">
        <w:rPr>
          <w:rFonts w:ascii="Ping LCG Regular" w:hAnsi="Ping LCG Regular"/>
          <w:i/>
          <w:iCs/>
          <w:sz w:val="22"/>
          <w:szCs w:val="22"/>
          <w:lang w:val="el-GR"/>
        </w:rPr>
        <w:t xml:space="preserve"> το 2025</w:t>
      </w:r>
    </w:p>
    <w:p w14:paraId="2D077DFD" w14:textId="77777777" w:rsidR="00FC32AB" w:rsidRPr="00B7431B" w:rsidRDefault="00FC32AB" w:rsidP="003B4226">
      <w:pPr>
        <w:tabs>
          <w:tab w:val="left" w:pos="3252"/>
        </w:tabs>
        <w:spacing w:line="320" w:lineRule="atLeast"/>
        <w:jc w:val="both"/>
        <w:rPr>
          <w:rFonts w:ascii="Ping LCG Regular" w:hAnsi="Ping LCG Regular"/>
          <w:sz w:val="22"/>
          <w:szCs w:val="22"/>
          <w:lang w:val="el-GR"/>
        </w:rPr>
      </w:pPr>
    </w:p>
    <w:p w14:paraId="5A1E6F61" w14:textId="53EC25F0" w:rsidR="008A4080" w:rsidRPr="009423CC" w:rsidRDefault="00DE03D1" w:rsidP="00305763">
      <w:pPr>
        <w:rPr>
          <w:rFonts w:ascii="Ping LCG Regular" w:hAnsi="Ping LCG Regular"/>
          <w:b/>
          <w:bCs/>
          <w:sz w:val="22"/>
          <w:szCs w:val="22"/>
          <w:lang w:val="el-GR"/>
        </w:rPr>
      </w:pPr>
      <w:r w:rsidRPr="000D6248">
        <w:rPr>
          <w:rFonts w:ascii="Ping LCG Regular" w:hAnsi="Ping LCG Regular"/>
          <w:b/>
          <w:bCs/>
          <w:sz w:val="22"/>
          <w:szCs w:val="22"/>
          <w:lang w:val="el-GR"/>
        </w:rPr>
        <w:t>Βασικά Οικονομικά Μεγέθη</w:t>
      </w:r>
      <w:r w:rsidR="00023A0A" w:rsidRPr="00F625F0">
        <w:rPr>
          <w:rStyle w:val="FootnoteReference"/>
          <w:rFonts w:ascii="Ping LCG Regular" w:hAnsi="Ping LCG Regular"/>
          <w:b/>
          <w:bCs/>
          <w:color w:val="FFFFFF" w:themeColor="background1"/>
          <w:sz w:val="22"/>
          <w:szCs w:val="22"/>
          <w:lang w:val="el-GR"/>
        </w:rPr>
        <w:footnoteReference w:id="2"/>
      </w:r>
    </w:p>
    <w:p w14:paraId="4CA51D11" w14:textId="363EB0D1" w:rsidR="00DB7142" w:rsidRDefault="00DB7142" w:rsidP="00305763">
      <w:pPr>
        <w:rPr>
          <w:rFonts w:ascii="Ping LCG Regular" w:hAnsi="Ping LCG Regular"/>
          <w:b/>
          <w:bCs/>
          <w:sz w:val="22"/>
          <w:szCs w:val="22"/>
          <w:lang w:val="el-GR"/>
        </w:rPr>
      </w:pPr>
    </w:p>
    <w:p w14:paraId="6FA9DCD1" w14:textId="6D6F2258" w:rsidR="00DE03D1" w:rsidRPr="00305763" w:rsidRDefault="00DE03D1" w:rsidP="00305763">
      <w:pPr>
        <w:rPr>
          <w:rFonts w:ascii="Ping LCG Regular" w:hAnsi="Ping LCG Regular"/>
          <w:b/>
          <w:bCs/>
          <w:sz w:val="22"/>
          <w:szCs w:val="22"/>
          <w:lang w:val="el-GR"/>
        </w:rPr>
      </w:pPr>
    </w:p>
    <w:p w14:paraId="004670EC" w14:textId="7674A365" w:rsidR="00DB7142" w:rsidRDefault="00DF73E0" w:rsidP="00AF1E87">
      <w:pPr>
        <w:pStyle w:val="DehPressRelease"/>
        <w:jc w:val="both"/>
        <w:rPr>
          <w:b/>
          <w:bCs/>
          <w:szCs w:val="22"/>
        </w:rPr>
      </w:pPr>
      <w:r w:rsidRPr="00DF73E0">
        <w:rPr>
          <w:noProof/>
        </w:rPr>
        <w:drawing>
          <wp:inline distT="0" distB="0" distL="0" distR="0" wp14:anchorId="35846B61" wp14:editId="1E0E0E0C">
            <wp:extent cx="5594350" cy="3160395"/>
            <wp:effectExtent l="0" t="0" r="0" b="0"/>
            <wp:docPr id="9742945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94350" cy="3160395"/>
                    </a:xfrm>
                    <a:prstGeom prst="rect">
                      <a:avLst/>
                    </a:prstGeom>
                    <a:noFill/>
                    <a:ln>
                      <a:noFill/>
                    </a:ln>
                  </pic:spPr>
                </pic:pic>
              </a:graphicData>
            </a:graphic>
          </wp:inline>
        </w:drawing>
      </w:r>
    </w:p>
    <w:p w14:paraId="7905A91D" w14:textId="23FB71B8" w:rsidR="00DE03D1" w:rsidRPr="00B81C40" w:rsidRDefault="00DE03D1" w:rsidP="00AF1E87">
      <w:pPr>
        <w:pStyle w:val="DehPressRelease"/>
        <w:jc w:val="both"/>
        <w:rPr>
          <w:b/>
          <w:bCs/>
          <w:szCs w:val="22"/>
        </w:rPr>
      </w:pPr>
      <w:r w:rsidRPr="00B81C40">
        <w:rPr>
          <w:b/>
          <w:bCs/>
          <w:szCs w:val="22"/>
        </w:rPr>
        <w:lastRenderedPageBreak/>
        <w:t xml:space="preserve">Βασικά γεγονότα του α΄ </w:t>
      </w:r>
      <w:r w:rsidR="00F107FD" w:rsidRPr="00B81C40">
        <w:rPr>
          <w:b/>
          <w:bCs/>
          <w:szCs w:val="22"/>
        </w:rPr>
        <w:t>εξαμήνου</w:t>
      </w:r>
      <w:r w:rsidRPr="00B81C40">
        <w:rPr>
          <w:b/>
          <w:bCs/>
          <w:szCs w:val="22"/>
        </w:rPr>
        <w:t xml:space="preserve"> 2025 </w:t>
      </w:r>
    </w:p>
    <w:p w14:paraId="760AA1F4" w14:textId="0B511C30" w:rsidR="00F84463" w:rsidRPr="00DF56B4" w:rsidRDefault="00DA0310" w:rsidP="00DC1828">
      <w:pPr>
        <w:pStyle w:val="DehPressRelease"/>
        <w:jc w:val="both"/>
      </w:pPr>
      <w:r w:rsidRPr="00074E79">
        <w:t xml:space="preserve">Η ΔΕΗ σημείωσε πολύ καλές επιδόσεις το α’ εξάμηνο του 2025, με τα αποτελέσματα του β’ τριμήνου να υπερβαίνουν τα αντίστοιχα του πρώτου, όπως άλλωστε αναμενόταν, σε συνέχεια της βελτίωσης των </w:t>
      </w:r>
      <w:proofErr w:type="spellStart"/>
      <w:r w:rsidRPr="00074E79">
        <w:t>ανεμολογικών</w:t>
      </w:r>
      <w:proofErr w:type="spellEnd"/>
      <w:r w:rsidRPr="00074E79">
        <w:t xml:space="preserve"> συνθηκών που συνέβαλαν στην αύξηση της παραγωγής από αιολικά πάρκα, αλλά και </w:t>
      </w:r>
      <w:r w:rsidR="00F463D6" w:rsidRPr="00074E79">
        <w:t xml:space="preserve">συνολικά της </w:t>
      </w:r>
      <w:r w:rsidR="009C2DF2" w:rsidRPr="00074E79">
        <w:t>καθετοποιημένης δραστηριότητας της</w:t>
      </w:r>
      <w:r w:rsidRPr="00074E79">
        <w:t>. Ως αποτέλεσμα, το προσαρμοσμένο EBITDA διαμορφώθηκε σε €</w:t>
      </w:r>
      <w:r w:rsidR="001137E1" w:rsidRPr="00074E79">
        <w:t>1</w:t>
      </w:r>
      <w:r w:rsidR="006A6CCD" w:rsidRPr="00074E79">
        <w:t xml:space="preserve"> </w:t>
      </w:r>
      <w:r w:rsidRPr="00074E79">
        <w:t>δι</w:t>
      </w:r>
      <w:r w:rsidR="0047458E" w:rsidRPr="00074E79">
        <w:t>σ</w:t>
      </w:r>
      <w:r w:rsidRPr="00074E79">
        <w:t xml:space="preserve">. το α΄ εξάμηνο του 2025 καταγράφοντας αύξηση κατά </w:t>
      </w:r>
      <w:r w:rsidR="00B44E26" w:rsidRPr="00074E79">
        <w:t>7</w:t>
      </w:r>
      <w:r w:rsidRPr="00074E79">
        <w:t xml:space="preserve">% σε σχέση με την αντίστοιχη περυσινή περίοδο. </w:t>
      </w:r>
    </w:p>
    <w:p w14:paraId="4B080CA6" w14:textId="568F0218" w:rsidR="00DE03D1" w:rsidRDefault="00DE03D1" w:rsidP="00AF1E87">
      <w:pPr>
        <w:pStyle w:val="DehPressRelease"/>
        <w:jc w:val="both"/>
        <w:rPr>
          <w:szCs w:val="22"/>
        </w:rPr>
      </w:pPr>
      <w:r w:rsidRPr="00371E92">
        <w:rPr>
          <w:szCs w:val="22"/>
        </w:rPr>
        <w:t>Οι συνολικές επενδύσεις ανήλθαν σε €</w:t>
      </w:r>
      <w:r w:rsidR="0014337F" w:rsidRPr="00371E92">
        <w:rPr>
          <w:szCs w:val="22"/>
        </w:rPr>
        <w:t>1,</w:t>
      </w:r>
      <w:r w:rsidR="00576DB0" w:rsidRPr="00576DB0">
        <w:rPr>
          <w:szCs w:val="22"/>
        </w:rPr>
        <w:t>3</w:t>
      </w:r>
      <w:r w:rsidR="004665CD" w:rsidRPr="00371E92">
        <w:rPr>
          <w:szCs w:val="22"/>
        </w:rPr>
        <w:t xml:space="preserve"> δισ</w:t>
      </w:r>
      <w:r w:rsidRPr="00371E92">
        <w:rPr>
          <w:szCs w:val="22"/>
        </w:rPr>
        <w:t xml:space="preserve">., με την πλειοψηφία αυτών </w:t>
      </w:r>
      <w:r w:rsidR="009807AC" w:rsidRPr="00C6337D">
        <w:rPr>
          <w:szCs w:val="22"/>
        </w:rPr>
        <w:t>(</w:t>
      </w:r>
      <w:r w:rsidR="00563C31">
        <w:rPr>
          <w:szCs w:val="22"/>
        </w:rPr>
        <w:t>90%)</w:t>
      </w:r>
      <w:r w:rsidRPr="00371E92">
        <w:rPr>
          <w:szCs w:val="22"/>
        </w:rPr>
        <w:t xml:space="preserve">, να αφορούν επενδύσεις σε έργα ΑΠΕ, ευέλικτης παραγωγής και </w:t>
      </w:r>
      <w:r w:rsidR="00B15434" w:rsidRPr="00371E92">
        <w:rPr>
          <w:szCs w:val="22"/>
        </w:rPr>
        <w:t>δ</w:t>
      </w:r>
      <w:r w:rsidRPr="00371E92">
        <w:rPr>
          <w:szCs w:val="22"/>
        </w:rPr>
        <w:t xml:space="preserve">ιανομής ηλεκτρικής ενέργειας, </w:t>
      </w:r>
      <w:r w:rsidR="00E0749F">
        <w:rPr>
          <w:szCs w:val="22"/>
        </w:rPr>
        <w:t>σε</w:t>
      </w:r>
      <w:r w:rsidR="00E0749F" w:rsidRPr="00E0749F">
        <w:rPr>
          <w:szCs w:val="22"/>
        </w:rPr>
        <w:t xml:space="preserve"> ευθυγράμμιση</w:t>
      </w:r>
      <w:r w:rsidR="00E0749F">
        <w:rPr>
          <w:szCs w:val="22"/>
        </w:rPr>
        <w:t xml:space="preserve"> </w:t>
      </w:r>
      <w:r w:rsidRPr="00371E92">
        <w:rPr>
          <w:szCs w:val="22"/>
        </w:rPr>
        <w:t xml:space="preserve">με τους στρατηγικούς στόχους </w:t>
      </w:r>
      <w:r w:rsidR="00E0749F" w:rsidRPr="00E0749F">
        <w:rPr>
          <w:szCs w:val="22"/>
        </w:rPr>
        <w:t xml:space="preserve">του Ομίλου </w:t>
      </w:r>
      <w:r w:rsidRPr="00371E92">
        <w:rPr>
          <w:szCs w:val="22"/>
        </w:rPr>
        <w:t xml:space="preserve">για την δημιουργία ενός καθαρού και ευέλικτου χαρτοφυλακίου παραγωγής ενέργειας </w:t>
      </w:r>
      <w:r w:rsidR="00E0749F" w:rsidRPr="00E0749F">
        <w:rPr>
          <w:szCs w:val="22"/>
        </w:rPr>
        <w:t xml:space="preserve">καθώς και </w:t>
      </w:r>
      <w:r w:rsidRPr="00371E92">
        <w:rPr>
          <w:szCs w:val="22"/>
        </w:rPr>
        <w:t xml:space="preserve">τον εκσυγχρονισμό </w:t>
      </w:r>
      <w:r w:rsidR="00E0749F" w:rsidRPr="00E0749F">
        <w:rPr>
          <w:szCs w:val="22"/>
        </w:rPr>
        <w:t xml:space="preserve">και την </w:t>
      </w:r>
      <w:proofErr w:type="spellStart"/>
      <w:r w:rsidR="00E0749F" w:rsidRPr="00E0749F">
        <w:rPr>
          <w:szCs w:val="22"/>
        </w:rPr>
        <w:t>ψηφιοποίηση</w:t>
      </w:r>
      <w:proofErr w:type="spellEnd"/>
      <w:r w:rsidR="00E0749F" w:rsidRPr="00E0749F">
        <w:rPr>
          <w:szCs w:val="22"/>
        </w:rPr>
        <w:t xml:space="preserve"> </w:t>
      </w:r>
      <w:r w:rsidRPr="00371E92">
        <w:rPr>
          <w:szCs w:val="22"/>
        </w:rPr>
        <w:t>των δικτύων διανομής.</w:t>
      </w:r>
      <w:r w:rsidR="000C0625" w:rsidRPr="00371E92">
        <w:rPr>
          <w:szCs w:val="22"/>
        </w:rPr>
        <w:t xml:space="preserve"> </w:t>
      </w:r>
    </w:p>
    <w:p w14:paraId="257D60E2" w14:textId="1D37FC52" w:rsidR="00A105C1" w:rsidRDefault="00795096" w:rsidP="00A105C1">
      <w:pPr>
        <w:pStyle w:val="DehPressRelease"/>
        <w:jc w:val="both"/>
        <w:rPr>
          <w:szCs w:val="22"/>
        </w:rPr>
      </w:pPr>
      <w:r w:rsidRPr="00795096">
        <w:rPr>
          <w:szCs w:val="22"/>
        </w:rPr>
        <w:t xml:space="preserve">Η εγκατεστημένη ισχύς των ΑΠΕ διαμορφώθηκε </w:t>
      </w:r>
      <w:r w:rsidRPr="00912AD4">
        <w:rPr>
          <w:szCs w:val="22"/>
        </w:rPr>
        <w:t>σε 6,3</w:t>
      </w:r>
      <w:r w:rsidR="00A014CF" w:rsidRPr="00A014CF">
        <w:rPr>
          <w:szCs w:val="22"/>
        </w:rPr>
        <w:t xml:space="preserve"> </w:t>
      </w:r>
      <w:r w:rsidRPr="00912AD4">
        <w:rPr>
          <w:szCs w:val="22"/>
        </w:rPr>
        <w:t xml:space="preserve">GW στο </w:t>
      </w:r>
      <w:r w:rsidRPr="00795096">
        <w:rPr>
          <w:szCs w:val="22"/>
        </w:rPr>
        <w:t>τέλος του</w:t>
      </w:r>
      <w:r w:rsidR="001C764C" w:rsidRPr="001C764C">
        <w:rPr>
          <w:szCs w:val="22"/>
        </w:rPr>
        <w:t xml:space="preserve"> </w:t>
      </w:r>
      <w:r w:rsidR="00021C11">
        <w:rPr>
          <w:szCs w:val="22"/>
        </w:rPr>
        <w:t xml:space="preserve">α’ </w:t>
      </w:r>
      <w:r w:rsidRPr="00795096">
        <w:rPr>
          <w:szCs w:val="22"/>
        </w:rPr>
        <w:t xml:space="preserve">εξαμήνου του 2025, </w:t>
      </w:r>
      <w:r w:rsidR="00E0124D">
        <w:rPr>
          <w:szCs w:val="22"/>
        </w:rPr>
        <w:t xml:space="preserve">μετά και την </w:t>
      </w:r>
      <w:r w:rsidR="00286D49">
        <w:rPr>
          <w:szCs w:val="22"/>
        </w:rPr>
        <w:t>ολοκλήρωση της κατασκευής άλλων</w:t>
      </w:r>
      <w:r w:rsidR="00E0124D" w:rsidRPr="000545CB">
        <w:rPr>
          <w:szCs w:val="22"/>
        </w:rPr>
        <w:t xml:space="preserve"> </w:t>
      </w:r>
      <w:r w:rsidR="000545CB" w:rsidRPr="000545CB">
        <w:rPr>
          <w:szCs w:val="22"/>
        </w:rPr>
        <w:t>83</w:t>
      </w:r>
      <w:r w:rsidR="00A014CF" w:rsidRPr="00A014CF">
        <w:rPr>
          <w:szCs w:val="22"/>
        </w:rPr>
        <w:t xml:space="preserve"> </w:t>
      </w:r>
      <w:r w:rsidR="000545CB" w:rsidRPr="000545CB">
        <w:rPr>
          <w:szCs w:val="22"/>
        </w:rPr>
        <w:t xml:space="preserve">MW </w:t>
      </w:r>
      <w:r w:rsidR="00286D49" w:rsidRPr="007D6A66">
        <w:rPr>
          <w:szCs w:val="22"/>
        </w:rPr>
        <w:t xml:space="preserve">στο </w:t>
      </w:r>
      <w:proofErr w:type="spellStart"/>
      <w:r w:rsidR="00286D49" w:rsidRPr="007D6A66">
        <w:rPr>
          <w:szCs w:val="22"/>
        </w:rPr>
        <w:t>φωτοβολταϊκό</w:t>
      </w:r>
      <w:proofErr w:type="spellEnd"/>
      <w:r w:rsidR="00286D49" w:rsidRPr="007D6A66">
        <w:rPr>
          <w:szCs w:val="22"/>
        </w:rPr>
        <w:t xml:space="preserve"> πάρκο της Πτολεμαΐδας, με στόχο να ολοκληρωθούν και τα υπόλοιπα 100</w:t>
      </w:r>
      <w:r w:rsidR="00A014CF" w:rsidRPr="00A014CF">
        <w:rPr>
          <w:szCs w:val="22"/>
        </w:rPr>
        <w:t xml:space="preserve"> </w:t>
      </w:r>
      <w:r w:rsidR="00286D49" w:rsidRPr="007D6A66">
        <w:rPr>
          <w:szCs w:val="22"/>
        </w:rPr>
        <w:t>MW έως το τέλος του έτους.</w:t>
      </w:r>
      <w:r w:rsidR="006F0791">
        <w:rPr>
          <w:szCs w:val="22"/>
        </w:rPr>
        <w:t xml:space="preserve"> </w:t>
      </w:r>
      <w:r w:rsidR="00286D49" w:rsidRPr="006F0791">
        <w:rPr>
          <w:szCs w:val="22"/>
        </w:rPr>
        <w:t xml:space="preserve">Πρόκειται για το μεγαλύτερο ενιαίο </w:t>
      </w:r>
      <w:proofErr w:type="spellStart"/>
      <w:r w:rsidR="00286D49" w:rsidRPr="006F0791">
        <w:rPr>
          <w:szCs w:val="22"/>
        </w:rPr>
        <w:t>φωτοβολταϊκό</w:t>
      </w:r>
      <w:proofErr w:type="spellEnd"/>
      <w:r w:rsidR="00286D49" w:rsidRPr="006F0791">
        <w:rPr>
          <w:szCs w:val="22"/>
        </w:rPr>
        <w:t xml:space="preserve"> </w:t>
      </w:r>
      <w:r w:rsidR="00D43E02">
        <w:rPr>
          <w:szCs w:val="22"/>
        </w:rPr>
        <w:t>πάρκο</w:t>
      </w:r>
      <w:r w:rsidR="00286D49" w:rsidRPr="006F0791">
        <w:rPr>
          <w:szCs w:val="22"/>
        </w:rPr>
        <w:t xml:space="preserve"> στην Ελλάδα, το οποίο αναπτύσσεται στον χώρο του πρώην λιγνιτωρυχείου της περιοχής</w:t>
      </w:r>
      <w:r w:rsidR="00037728" w:rsidRPr="006F0791">
        <w:rPr>
          <w:szCs w:val="22"/>
        </w:rPr>
        <w:t xml:space="preserve"> και μετά την ολοκλήρωσή του </w:t>
      </w:r>
      <w:r w:rsidR="00C95496">
        <w:rPr>
          <w:szCs w:val="22"/>
        </w:rPr>
        <w:t xml:space="preserve">μέχρι το τέλος του 2025 </w:t>
      </w:r>
      <w:r w:rsidR="00037728" w:rsidRPr="006F0791">
        <w:rPr>
          <w:szCs w:val="22"/>
        </w:rPr>
        <w:t xml:space="preserve">θα έχει </w:t>
      </w:r>
      <w:r w:rsidR="00C95496">
        <w:rPr>
          <w:szCs w:val="22"/>
        </w:rPr>
        <w:t xml:space="preserve">συνολική </w:t>
      </w:r>
      <w:r w:rsidR="00037728" w:rsidRPr="006F0791">
        <w:rPr>
          <w:szCs w:val="22"/>
        </w:rPr>
        <w:t>ισχύ 550</w:t>
      </w:r>
      <w:r w:rsidR="00A014CF" w:rsidRPr="00A014CF">
        <w:rPr>
          <w:szCs w:val="22"/>
        </w:rPr>
        <w:t xml:space="preserve"> </w:t>
      </w:r>
      <w:r w:rsidR="00037728" w:rsidRPr="006F0791">
        <w:rPr>
          <w:szCs w:val="22"/>
        </w:rPr>
        <w:t>MW</w:t>
      </w:r>
      <w:r w:rsidR="00D43E02">
        <w:rPr>
          <w:szCs w:val="22"/>
        </w:rPr>
        <w:t>. Είναι ένα</w:t>
      </w:r>
      <w:r w:rsidR="00286D49" w:rsidRPr="006F0791">
        <w:rPr>
          <w:szCs w:val="22"/>
        </w:rPr>
        <w:t xml:space="preserve"> </w:t>
      </w:r>
      <w:r w:rsidR="006F0791" w:rsidRPr="006F0791">
        <w:rPr>
          <w:szCs w:val="22"/>
        </w:rPr>
        <w:t xml:space="preserve">έργο το οποίο αποτελεί έμπρακτη απόδειξη </w:t>
      </w:r>
      <w:r w:rsidR="00286D49" w:rsidRPr="006F0791">
        <w:rPr>
          <w:szCs w:val="22"/>
        </w:rPr>
        <w:t xml:space="preserve">ότι η ενεργειακή μετάβαση μπορεί να </w:t>
      </w:r>
      <w:r w:rsidR="006F0791" w:rsidRPr="006F0791">
        <w:rPr>
          <w:szCs w:val="22"/>
        </w:rPr>
        <w:t>έχει αμοιβαία οφέλη</w:t>
      </w:r>
      <w:r w:rsidR="00286D49" w:rsidRPr="006F0791">
        <w:rPr>
          <w:szCs w:val="22"/>
        </w:rPr>
        <w:t xml:space="preserve"> τόσο για τη ΔΕΗ όσο και για τις τοπικές κοινωνίες.</w:t>
      </w:r>
      <w:r w:rsidR="003A0792">
        <w:rPr>
          <w:szCs w:val="22"/>
        </w:rPr>
        <w:t xml:space="preserve"> </w:t>
      </w:r>
      <w:r w:rsidR="00617F0B">
        <w:rPr>
          <w:szCs w:val="22"/>
        </w:rPr>
        <w:t xml:space="preserve">Παράλληλα, η ΔΕΗ </w:t>
      </w:r>
      <w:r w:rsidR="004E47D4">
        <w:rPr>
          <w:szCs w:val="22"/>
        </w:rPr>
        <w:t>συνεχίζει</w:t>
      </w:r>
      <w:r w:rsidR="00A74742">
        <w:rPr>
          <w:szCs w:val="22"/>
        </w:rPr>
        <w:t xml:space="preserve"> να </w:t>
      </w:r>
      <w:r w:rsidR="004E47D4">
        <w:rPr>
          <w:szCs w:val="22"/>
        </w:rPr>
        <w:t xml:space="preserve">ωριμάζει </w:t>
      </w:r>
      <w:r w:rsidR="00A74742" w:rsidRPr="004E47D4">
        <w:t>το χαρτοφυλάκι</w:t>
      </w:r>
      <w:r w:rsidR="004E47D4">
        <w:t>ο που διαθέτει σε έργα ΑΠΕ</w:t>
      </w:r>
      <w:r w:rsidR="00A74742" w:rsidRPr="004E47D4">
        <w:t xml:space="preserve">, καθώς </w:t>
      </w:r>
      <w:r w:rsidR="00A3303B">
        <w:rPr>
          <w:szCs w:val="22"/>
        </w:rPr>
        <w:t xml:space="preserve">εντός του β΄ τριμήνου του 2025, </w:t>
      </w:r>
      <w:r w:rsidR="00935A9B">
        <w:rPr>
          <w:szCs w:val="22"/>
        </w:rPr>
        <w:t xml:space="preserve">έργα συνολικής ισχύος </w:t>
      </w:r>
      <w:r w:rsidR="00BF77E4">
        <w:rPr>
          <w:szCs w:val="22"/>
        </w:rPr>
        <w:t>871</w:t>
      </w:r>
      <w:r w:rsidR="00A014CF" w:rsidRPr="00A014CF">
        <w:rPr>
          <w:szCs w:val="22"/>
        </w:rPr>
        <w:t xml:space="preserve"> </w:t>
      </w:r>
      <w:r w:rsidR="00BF77E4">
        <w:rPr>
          <w:szCs w:val="22"/>
        </w:rPr>
        <w:t>Μ</w:t>
      </w:r>
      <w:r w:rsidR="00935A9B">
        <w:rPr>
          <w:szCs w:val="22"/>
          <w:lang w:val="en-US"/>
        </w:rPr>
        <w:t>W</w:t>
      </w:r>
      <w:r w:rsidR="00935A9B" w:rsidRPr="000C68DD">
        <w:rPr>
          <w:szCs w:val="22"/>
        </w:rPr>
        <w:t xml:space="preserve"> </w:t>
      </w:r>
      <w:r w:rsidR="0072778B">
        <w:rPr>
          <w:szCs w:val="22"/>
        </w:rPr>
        <w:t xml:space="preserve">εισήλθαν στη φάση </w:t>
      </w:r>
      <w:r w:rsidR="00557320">
        <w:rPr>
          <w:szCs w:val="22"/>
        </w:rPr>
        <w:t>της κατασκευής</w:t>
      </w:r>
      <w:r w:rsidR="00583683">
        <w:rPr>
          <w:szCs w:val="22"/>
        </w:rPr>
        <w:t xml:space="preserve">, </w:t>
      </w:r>
      <w:r w:rsidR="00A72EA1">
        <w:rPr>
          <w:szCs w:val="22"/>
        </w:rPr>
        <w:t xml:space="preserve">με τη </w:t>
      </w:r>
      <w:r w:rsidR="00583683">
        <w:rPr>
          <w:szCs w:val="22"/>
        </w:rPr>
        <w:t xml:space="preserve">συνολική ισχύ των </w:t>
      </w:r>
      <w:r w:rsidR="0032092F">
        <w:rPr>
          <w:szCs w:val="22"/>
        </w:rPr>
        <w:t>έργων υπό κατασκευή</w:t>
      </w:r>
      <w:r w:rsidR="00F45247">
        <w:rPr>
          <w:szCs w:val="22"/>
        </w:rPr>
        <w:t xml:space="preserve">, </w:t>
      </w:r>
      <w:r w:rsidR="0032092F" w:rsidRPr="00795096">
        <w:rPr>
          <w:szCs w:val="22"/>
        </w:rPr>
        <w:t>έτοιμ</w:t>
      </w:r>
      <w:r w:rsidR="0032092F">
        <w:rPr>
          <w:szCs w:val="22"/>
        </w:rPr>
        <w:t>ων</w:t>
      </w:r>
      <w:r w:rsidR="0032092F" w:rsidRPr="00795096">
        <w:rPr>
          <w:szCs w:val="22"/>
        </w:rPr>
        <w:t xml:space="preserve"> προς κατασκευή</w:t>
      </w:r>
      <w:r w:rsidR="00F45247">
        <w:rPr>
          <w:szCs w:val="22"/>
        </w:rPr>
        <w:t xml:space="preserve"> </w:t>
      </w:r>
      <w:r w:rsidR="00231393">
        <w:rPr>
          <w:szCs w:val="22"/>
        </w:rPr>
        <w:t xml:space="preserve">ή </w:t>
      </w:r>
      <w:r w:rsidR="00F45247" w:rsidRPr="00795096">
        <w:rPr>
          <w:szCs w:val="22"/>
        </w:rPr>
        <w:t>σε διαδικασία διαγωνισμού (υποβολή προσφορών)</w:t>
      </w:r>
      <w:r w:rsidR="00557320">
        <w:rPr>
          <w:szCs w:val="22"/>
        </w:rPr>
        <w:t xml:space="preserve"> </w:t>
      </w:r>
      <w:r w:rsidR="00A72EA1">
        <w:rPr>
          <w:szCs w:val="22"/>
        </w:rPr>
        <w:t xml:space="preserve">να </w:t>
      </w:r>
      <w:r w:rsidR="00231393">
        <w:rPr>
          <w:szCs w:val="22"/>
        </w:rPr>
        <w:t>ανέρχεται σε</w:t>
      </w:r>
      <w:r w:rsidRPr="00795096">
        <w:rPr>
          <w:szCs w:val="22"/>
        </w:rPr>
        <w:t xml:space="preserve"> 3,7</w:t>
      </w:r>
      <w:r w:rsidR="00A014CF" w:rsidRPr="00A014CF">
        <w:rPr>
          <w:szCs w:val="22"/>
        </w:rPr>
        <w:t xml:space="preserve"> </w:t>
      </w:r>
      <w:r w:rsidRPr="00795096">
        <w:rPr>
          <w:szCs w:val="22"/>
        </w:rPr>
        <w:t>GW</w:t>
      </w:r>
      <w:r w:rsidR="00231393">
        <w:rPr>
          <w:szCs w:val="22"/>
        </w:rPr>
        <w:t>.</w:t>
      </w:r>
      <w:r w:rsidRPr="00795096">
        <w:rPr>
          <w:szCs w:val="22"/>
        </w:rPr>
        <w:t xml:space="preserve"> </w:t>
      </w:r>
    </w:p>
    <w:p w14:paraId="60F1EB34" w14:textId="6334F1F1" w:rsidR="00DE03D1" w:rsidRPr="00637F75" w:rsidRDefault="00DE03D1" w:rsidP="00A105C1">
      <w:pPr>
        <w:pStyle w:val="DehPressRelease"/>
        <w:jc w:val="both"/>
        <w:rPr>
          <w:szCs w:val="22"/>
        </w:rPr>
      </w:pPr>
      <w:r w:rsidRPr="000C68DD">
        <w:rPr>
          <w:szCs w:val="22"/>
        </w:rPr>
        <w:t xml:space="preserve">Η </w:t>
      </w:r>
      <w:proofErr w:type="spellStart"/>
      <w:r w:rsidRPr="000C68DD">
        <w:rPr>
          <w:szCs w:val="22"/>
        </w:rPr>
        <w:t>λιγνιτική</w:t>
      </w:r>
      <w:proofErr w:type="spellEnd"/>
      <w:r w:rsidRPr="000C68DD">
        <w:rPr>
          <w:szCs w:val="22"/>
        </w:rPr>
        <w:t xml:space="preserve"> παραγωγή το α’ </w:t>
      </w:r>
      <w:r w:rsidR="00303ED8" w:rsidRPr="000C68DD">
        <w:rPr>
          <w:szCs w:val="22"/>
        </w:rPr>
        <w:t>εξάμηνο</w:t>
      </w:r>
      <w:r w:rsidRPr="000C68DD">
        <w:rPr>
          <w:szCs w:val="22"/>
        </w:rPr>
        <w:t xml:space="preserve"> 2025 </w:t>
      </w:r>
      <w:r w:rsidR="00467726" w:rsidRPr="000C68DD">
        <w:rPr>
          <w:szCs w:val="22"/>
        </w:rPr>
        <w:t xml:space="preserve">μειώθηκε κατά 6% </w:t>
      </w:r>
      <w:r w:rsidR="00E16EBD" w:rsidRPr="000C68DD">
        <w:rPr>
          <w:szCs w:val="22"/>
        </w:rPr>
        <w:t xml:space="preserve">σε σχέση </w:t>
      </w:r>
      <w:r w:rsidRPr="000C68DD">
        <w:rPr>
          <w:szCs w:val="22"/>
        </w:rPr>
        <w:t xml:space="preserve">με το α’ </w:t>
      </w:r>
      <w:r w:rsidR="00E16EBD" w:rsidRPr="000C68DD">
        <w:rPr>
          <w:szCs w:val="22"/>
        </w:rPr>
        <w:t>εξάμηνο</w:t>
      </w:r>
      <w:r w:rsidRPr="000C68DD">
        <w:rPr>
          <w:szCs w:val="22"/>
        </w:rPr>
        <w:t xml:space="preserve"> 2024 και διαμορφώθηκε σε 1,</w:t>
      </w:r>
      <w:r w:rsidR="00E16EBD" w:rsidRPr="000C68DD">
        <w:rPr>
          <w:szCs w:val="22"/>
        </w:rPr>
        <w:t>4</w:t>
      </w:r>
      <w:r w:rsidRPr="000C68DD">
        <w:rPr>
          <w:szCs w:val="22"/>
        </w:rPr>
        <w:t xml:space="preserve"> </w:t>
      </w:r>
      <w:r w:rsidRPr="000C68DD">
        <w:rPr>
          <w:szCs w:val="22"/>
          <w:lang w:val="en-US"/>
        </w:rPr>
        <w:t>TWh</w:t>
      </w:r>
      <w:r w:rsidRPr="000C68DD">
        <w:rPr>
          <w:szCs w:val="22"/>
        </w:rPr>
        <w:t xml:space="preserve">. </w:t>
      </w:r>
      <w:r w:rsidR="0054456B" w:rsidRPr="000C68DD">
        <w:rPr>
          <w:szCs w:val="22"/>
        </w:rPr>
        <w:t xml:space="preserve">Η παραγωγή από ΑΠΕ </w:t>
      </w:r>
      <w:r w:rsidR="009A601F" w:rsidRPr="000C68DD">
        <w:rPr>
          <w:szCs w:val="22"/>
        </w:rPr>
        <w:t xml:space="preserve">αυξήθηκε </w:t>
      </w:r>
      <w:r w:rsidR="00FC731F" w:rsidRPr="000C68DD">
        <w:rPr>
          <w:szCs w:val="22"/>
        </w:rPr>
        <w:t>κατά 1</w:t>
      </w:r>
      <w:r w:rsidR="006C4F97" w:rsidRPr="000C68DD">
        <w:rPr>
          <w:szCs w:val="22"/>
        </w:rPr>
        <w:t>,</w:t>
      </w:r>
      <w:r w:rsidR="00632DD9" w:rsidRPr="000C68DD">
        <w:rPr>
          <w:szCs w:val="22"/>
        </w:rPr>
        <w:t>5</w:t>
      </w:r>
      <w:r w:rsidR="00FC731F" w:rsidRPr="000C68DD">
        <w:rPr>
          <w:szCs w:val="22"/>
        </w:rPr>
        <w:t>% σε σχέση</w:t>
      </w:r>
      <w:r w:rsidRPr="000C68DD">
        <w:rPr>
          <w:szCs w:val="22"/>
        </w:rPr>
        <w:t xml:space="preserve"> με την αντίστοιχη περίοδο του 2024, </w:t>
      </w:r>
      <w:r w:rsidR="00626994" w:rsidRPr="000C68DD">
        <w:rPr>
          <w:szCs w:val="22"/>
        </w:rPr>
        <w:t>παρ</w:t>
      </w:r>
      <w:r w:rsidR="00EC0B1F">
        <w:rPr>
          <w:szCs w:val="22"/>
        </w:rPr>
        <w:t>ά</w:t>
      </w:r>
      <w:r w:rsidR="00626994" w:rsidRPr="000C68DD">
        <w:rPr>
          <w:szCs w:val="22"/>
        </w:rPr>
        <w:t xml:space="preserve"> τη</w:t>
      </w:r>
      <w:r w:rsidR="00042BBA" w:rsidRPr="000C68DD">
        <w:rPr>
          <w:szCs w:val="22"/>
        </w:rPr>
        <w:t xml:space="preserve"> </w:t>
      </w:r>
      <w:r w:rsidRPr="000C68DD">
        <w:rPr>
          <w:szCs w:val="22"/>
        </w:rPr>
        <w:t xml:space="preserve">μείωση κατά </w:t>
      </w:r>
      <w:r w:rsidR="0033794D" w:rsidRPr="000C68DD">
        <w:rPr>
          <w:szCs w:val="22"/>
        </w:rPr>
        <w:t>347</w:t>
      </w:r>
      <w:r w:rsidR="00B360DC" w:rsidRPr="000C68DD">
        <w:rPr>
          <w:szCs w:val="22"/>
          <w:lang w:val="en-US"/>
        </w:rPr>
        <w:t>GWh</w:t>
      </w:r>
      <w:r w:rsidR="00B360DC" w:rsidRPr="000C68DD">
        <w:rPr>
          <w:szCs w:val="22"/>
        </w:rPr>
        <w:t xml:space="preserve"> </w:t>
      </w:r>
      <w:r w:rsidR="00893F3F" w:rsidRPr="00893F3F">
        <w:rPr>
          <w:szCs w:val="22"/>
        </w:rPr>
        <w:t xml:space="preserve">    </w:t>
      </w:r>
      <w:r w:rsidR="00B360DC" w:rsidRPr="000C68DD">
        <w:rPr>
          <w:szCs w:val="22"/>
        </w:rPr>
        <w:t>(-</w:t>
      </w:r>
      <w:r w:rsidR="0033794D" w:rsidRPr="000C68DD">
        <w:rPr>
          <w:szCs w:val="22"/>
        </w:rPr>
        <w:t>19</w:t>
      </w:r>
      <w:r w:rsidRPr="000C68DD">
        <w:rPr>
          <w:szCs w:val="22"/>
        </w:rPr>
        <w:t>%</w:t>
      </w:r>
      <w:r w:rsidR="00B360DC" w:rsidRPr="000C68DD">
        <w:rPr>
          <w:szCs w:val="22"/>
        </w:rPr>
        <w:t>)</w:t>
      </w:r>
      <w:r w:rsidRPr="000C68DD">
        <w:rPr>
          <w:szCs w:val="22"/>
        </w:rPr>
        <w:t xml:space="preserve"> </w:t>
      </w:r>
      <w:r w:rsidR="00314644" w:rsidRPr="000C68DD">
        <w:rPr>
          <w:szCs w:val="22"/>
        </w:rPr>
        <w:t xml:space="preserve">της παραγωγής των </w:t>
      </w:r>
      <w:r w:rsidRPr="000C68DD">
        <w:rPr>
          <w:szCs w:val="22"/>
        </w:rPr>
        <w:t>μεγάλ</w:t>
      </w:r>
      <w:r w:rsidR="00314644" w:rsidRPr="000C68DD">
        <w:rPr>
          <w:szCs w:val="22"/>
        </w:rPr>
        <w:t>ων</w:t>
      </w:r>
      <w:r w:rsidRPr="000C68DD">
        <w:rPr>
          <w:szCs w:val="22"/>
        </w:rPr>
        <w:t xml:space="preserve"> υδροηλεκτρικ</w:t>
      </w:r>
      <w:r w:rsidR="00314644" w:rsidRPr="000C68DD">
        <w:rPr>
          <w:szCs w:val="22"/>
        </w:rPr>
        <w:t>ών</w:t>
      </w:r>
      <w:r w:rsidRPr="000C68DD">
        <w:rPr>
          <w:szCs w:val="22"/>
        </w:rPr>
        <w:t xml:space="preserve">, λόγω των μειωμένων </w:t>
      </w:r>
      <w:r w:rsidR="00366FCB" w:rsidRPr="000C68DD">
        <w:rPr>
          <w:szCs w:val="22"/>
        </w:rPr>
        <w:t xml:space="preserve">υδατικών </w:t>
      </w:r>
      <w:r w:rsidRPr="000C68DD">
        <w:rPr>
          <w:szCs w:val="22"/>
        </w:rPr>
        <w:t>εισροών στους ταμιευτήρες</w:t>
      </w:r>
      <w:r w:rsidR="00A94EC1" w:rsidRPr="000C68DD">
        <w:rPr>
          <w:szCs w:val="22"/>
        </w:rPr>
        <w:t>.</w:t>
      </w:r>
      <w:r w:rsidR="00A94EC1" w:rsidRPr="00B3365B">
        <w:rPr>
          <w:szCs w:val="22"/>
        </w:rPr>
        <w:t xml:space="preserve"> </w:t>
      </w:r>
      <w:r w:rsidR="006E63A7" w:rsidRPr="000C68DD">
        <w:rPr>
          <w:szCs w:val="22"/>
        </w:rPr>
        <w:t>Στην εν λόγω μεταβολή</w:t>
      </w:r>
      <w:r w:rsidR="0052620E" w:rsidRPr="000C68DD">
        <w:rPr>
          <w:szCs w:val="22"/>
        </w:rPr>
        <w:t xml:space="preserve"> της παραγωγής από ΑΠΕ</w:t>
      </w:r>
      <w:r w:rsidR="00F6665C" w:rsidRPr="000C68DD">
        <w:rPr>
          <w:szCs w:val="22"/>
        </w:rPr>
        <w:t>,</w:t>
      </w:r>
      <w:r w:rsidR="006E63A7" w:rsidRPr="000C68DD">
        <w:rPr>
          <w:szCs w:val="22"/>
        </w:rPr>
        <w:t xml:space="preserve"> συνέβαλαν θετικά </w:t>
      </w:r>
      <w:r w:rsidR="00BD484A" w:rsidRPr="000C68DD">
        <w:rPr>
          <w:szCs w:val="22"/>
        </w:rPr>
        <w:t>η παραγωγή κυρίως από αιολικά</w:t>
      </w:r>
      <w:r w:rsidR="00C72C8E" w:rsidRPr="000C68DD">
        <w:rPr>
          <w:szCs w:val="22"/>
        </w:rPr>
        <w:t xml:space="preserve"> και </w:t>
      </w:r>
      <w:proofErr w:type="spellStart"/>
      <w:r w:rsidR="00C72C8E" w:rsidRPr="000C68DD">
        <w:rPr>
          <w:szCs w:val="22"/>
        </w:rPr>
        <w:t>φωτοβολταϊκά</w:t>
      </w:r>
      <w:proofErr w:type="spellEnd"/>
      <w:r w:rsidR="004E613B" w:rsidRPr="000C68DD">
        <w:rPr>
          <w:szCs w:val="22"/>
        </w:rPr>
        <w:t>,</w:t>
      </w:r>
      <w:r w:rsidR="00BD484A" w:rsidRPr="000C68DD">
        <w:rPr>
          <w:szCs w:val="22"/>
        </w:rPr>
        <w:t xml:space="preserve"> </w:t>
      </w:r>
      <w:r w:rsidR="007924C7" w:rsidRPr="000C68DD">
        <w:rPr>
          <w:szCs w:val="22"/>
        </w:rPr>
        <w:t xml:space="preserve">η οποία </w:t>
      </w:r>
      <w:r w:rsidR="00D179C2" w:rsidRPr="000C68DD">
        <w:rPr>
          <w:szCs w:val="22"/>
        </w:rPr>
        <w:t xml:space="preserve">αυξήθηκε </w:t>
      </w:r>
      <w:r w:rsidR="00D179C2" w:rsidRPr="00E97D92">
        <w:rPr>
          <w:szCs w:val="22"/>
        </w:rPr>
        <w:t>κατά 40%</w:t>
      </w:r>
      <w:r w:rsidR="00C72C8E" w:rsidRPr="00E97D92">
        <w:rPr>
          <w:szCs w:val="22"/>
        </w:rPr>
        <w:t xml:space="preserve"> και 17% αντίστοιχα</w:t>
      </w:r>
      <w:r w:rsidR="00C72C8E" w:rsidRPr="000C68DD">
        <w:rPr>
          <w:szCs w:val="22"/>
        </w:rPr>
        <w:t xml:space="preserve"> έναντι </w:t>
      </w:r>
      <w:r w:rsidR="007A4830" w:rsidRPr="000C68DD">
        <w:rPr>
          <w:szCs w:val="22"/>
        </w:rPr>
        <w:t>τ</w:t>
      </w:r>
      <w:r w:rsidR="00E53E7A">
        <w:rPr>
          <w:szCs w:val="22"/>
        </w:rPr>
        <w:t xml:space="preserve">ου </w:t>
      </w:r>
      <w:r w:rsidR="00D223C2">
        <w:rPr>
          <w:szCs w:val="22"/>
        </w:rPr>
        <w:t>α’ εξαμήνου</w:t>
      </w:r>
      <w:r w:rsidR="007A4830" w:rsidRPr="000C68DD">
        <w:rPr>
          <w:szCs w:val="22"/>
        </w:rPr>
        <w:t xml:space="preserve"> 2024</w:t>
      </w:r>
      <w:r w:rsidR="006534BB" w:rsidRPr="000C68DD">
        <w:rPr>
          <w:szCs w:val="22"/>
        </w:rPr>
        <w:t xml:space="preserve"> σε συνέχεια της προσθήκης </w:t>
      </w:r>
      <w:r w:rsidR="00C0754D">
        <w:rPr>
          <w:szCs w:val="22"/>
        </w:rPr>
        <w:t xml:space="preserve">νέας ισχύος αλλά και της βελτίωσης των </w:t>
      </w:r>
      <w:proofErr w:type="spellStart"/>
      <w:r w:rsidR="00C0754D">
        <w:rPr>
          <w:szCs w:val="22"/>
        </w:rPr>
        <w:t>ανεμολογικών</w:t>
      </w:r>
      <w:proofErr w:type="spellEnd"/>
      <w:r w:rsidR="00C0754D">
        <w:rPr>
          <w:szCs w:val="22"/>
        </w:rPr>
        <w:t xml:space="preserve"> συνθηκών το β΄</w:t>
      </w:r>
      <w:r w:rsidR="002730B2">
        <w:rPr>
          <w:szCs w:val="22"/>
        </w:rPr>
        <w:t xml:space="preserve"> τ</w:t>
      </w:r>
      <w:r w:rsidR="00C0754D">
        <w:rPr>
          <w:szCs w:val="22"/>
        </w:rPr>
        <w:t xml:space="preserve">ρίμηνο του 2025. </w:t>
      </w:r>
      <w:r w:rsidR="007A4830" w:rsidRPr="000C68DD">
        <w:rPr>
          <w:szCs w:val="22"/>
        </w:rPr>
        <w:t xml:space="preserve"> </w:t>
      </w:r>
      <w:r w:rsidR="00053987" w:rsidRPr="000C68DD">
        <w:rPr>
          <w:szCs w:val="22"/>
        </w:rPr>
        <w:t xml:space="preserve">Ως </w:t>
      </w:r>
      <w:r w:rsidR="00447452" w:rsidRPr="000C68DD">
        <w:rPr>
          <w:szCs w:val="22"/>
        </w:rPr>
        <w:t>αποτέλεσμα, η</w:t>
      </w:r>
      <w:r w:rsidR="00497FFA" w:rsidRPr="000C68DD">
        <w:rPr>
          <w:szCs w:val="22"/>
        </w:rPr>
        <w:t xml:space="preserve"> </w:t>
      </w:r>
      <w:r w:rsidRPr="000C68DD">
        <w:rPr>
          <w:szCs w:val="22"/>
        </w:rPr>
        <w:t xml:space="preserve">παραγωγή από ΑΠΕ </w:t>
      </w:r>
      <w:r w:rsidR="00135E69" w:rsidRPr="000C68DD">
        <w:rPr>
          <w:szCs w:val="22"/>
        </w:rPr>
        <w:t>διαμορφώθηκε</w:t>
      </w:r>
      <w:r w:rsidRPr="000C68DD">
        <w:rPr>
          <w:szCs w:val="22"/>
        </w:rPr>
        <w:t xml:space="preserve"> σε </w:t>
      </w:r>
      <w:r w:rsidR="009A2640" w:rsidRPr="000C68DD">
        <w:rPr>
          <w:szCs w:val="22"/>
        </w:rPr>
        <w:t>3,1</w:t>
      </w:r>
      <w:r w:rsidRPr="000C68DD">
        <w:rPr>
          <w:szCs w:val="22"/>
        </w:rPr>
        <w:t xml:space="preserve"> </w:t>
      </w:r>
      <w:r w:rsidRPr="000C68DD">
        <w:rPr>
          <w:szCs w:val="22"/>
          <w:lang w:val="en-US"/>
        </w:rPr>
        <w:t>TWh</w:t>
      </w:r>
      <w:r w:rsidRPr="000C68DD">
        <w:rPr>
          <w:szCs w:val="22"/>
        </w:rPr>
        <w:t xml:space="preserve"> και αντιστοιχεί στο </w:t>
      </w:r>
      <w:r w:rsidR="00653B56" w:rsidRPr="000C68DD">
        <w:rPr>
          <w:szCs w:val="22"/>
        </w:rPr>
        <w:t>32</w:t>
      </w:r>
      <w:r w:rsidRPr="000C68DD">
        <w:rPr>
          <w:szCs w:val="22"/>
        </w:rPr>
        <w:t xml:space="preserve">% της συνολικής παραγωγής της ΔΕΗ. Παράλληλα, η παραγωγή από φυσικό αέριο ενισχύθηκε κατά </w:t>
      </w:r>
      <w:r w:rsidR="006F4A49" w:rsidRPr="000C68DD">
        <w:rPr>
          <w:szCs w:val="22"/>
        </w:rPr>
        <w:t>18</w:t>
      </w:r>
      <w:r w:rsidRPr="000C68DD">
        <w:rPr>
          <w:szCs w:val="22"/>
        </w:rPr>
        <w:t xml:space="preserve">% σε σύγκριση με το α’ </w:t>
      </w:r>
      <w:r w:rsidR="006F4A49" w:rsidRPr="000C68DD">
        <w:rPr>
          <w:szCs w:val="22"/>
        </w:rPr>
        <w:t>εξάμηνο</w:t>
      </w:r>
      <w:r w:rsidRPr="000C68DD">
        <w:rPr>
          <w:szCs w:val="22"/>
        </w:rPr>
        <w:t xml:space="preserve"> του 2024</w:t>
      </w:r>
      <w:r w:rsidRPr="00B3365B">
        <w:rPr>
          <w:szCs w:val="22"/>
        </w:rPr>
        <w:t xml:space="preserve">, </w:t>
      </w:r>
      <w:r w:rsidRPr="00F732F1">
        <w:rPr>
          <w:szCs w:val="22"/>
        </w:rPr>
        <w:t xml:space="preserve">κυρίως </w:t>
      </w:r>
      <w:r w:rsidR="00857BA5" w:rsidRPr="00F732F1">
        <w:rPr>
          <w:szCs w:val="22"/>
        </w:rPr>
        <w:t xml:space="preserve">για την κάλυψη </w:t>
      </w:r>
      <w:r w:rsidR="001D45F0" w:rsidRPr="00F732F1">
        <w:rPr>
          <w:szCs w:val="22"/>
        </w:rPr>
        <w:t xml:space="preserve">των </w:t>
      </w:r>
      <w:r w:rsidR="00857BA5" w:rsidRPr="00F732F1">
        <w:rPr>
          <w:szCs w:val="22"/>
        </w:rPr>
        <w:t xml:space="preserve">αναγκών που προέκυψαν </w:t>
      </w:r>
      <w:r w:rsidR="001D45F0" w:rsidRPr="00F732F1">
        <w:rPr>
          <w:szCs w:val="22"/>
        </w:rPr>
        <w:t>από την μειωμένη παραγωγή των υδροηλεκτρικών</w:t>
      </w:r>
      <w:r w:rsidR="00DD5778" w:rsidRPr="003B4EB4">
        <w:rPr>
          <w:szCs w:val="22"/>
        </w:rPr>
        <w:t xml:space="preserve"> </w:t>
      </w:r>
      <w:r w:rsidR="00C94551" w:rsidRPr="00F732F1">
        <w:rPr>
          <w:szCs w:val="22"/>
        </w:rPr>
        <w:t xml:space="preserve">το α΄ </w:t>
      </w:r>
      <w:r w:rsidR="00616199" w:rsidRPr="00F732F1">
        <w:rPr>
          <w:szCs w:val="22"/>
        </w:rPr>
        <w:t xml:space="preserve">εξάμηνο </w:t>
      </w:r>
      <w:r w:rsidR="00C94551" w:rsidRPr="00F732F1">
        <w:rPr>
          <w:szCs w:val="22"/>
        </w:rPr>
        <w:t>του 2025</w:t>
      </w:r>
      <w:r w:rsidRPr="00F732F1">
        <w:rPr>
          <w:szCs w:val="22"/>
        </w:rPr>
        <w:t xml:space="preserve">, αλλά και </w:t>
      </w:r>
      <w:r w:rsidR="004E1206" w:rsidRPr="00F732F1">
        <w:rPr>
          <w:szCs w:val="22"/>
        </w:rPr>
        <w:t xml:space="preserve">της </w:t>
      </w:r>
      <w:r w:rsidR="007932A1" w:rsidRPr="00F732F1">
        <w:rPr>
          <w:szCs w:val="22"/>
        </w:rPr>
        <w:t xml:space="preserve">αύξησης </w:t>
      </w:r>
      <w:r w:rsidRPr="00F732F1">
        <w:rPr>
          <w:szCs w:val="22"/>
        </w:rPr>
        <w:t>του ισοζυγίου εξαγωγών</w:t>
      </w:r>
      <w:r w:rsidR="00DD5778" w:rsidRPr="003B4EB4">
        <w:rPr>
          <w:szCs w:val="22"/>
        </w:rPr>
        <w:t xml:space="preserve"> - </w:t>
      </w:r>
      <w:r w:rsidR="006538C0" w:rsidRPr="00F732F1">
        <w:rPr>
          <w:szCs w:val="22"/>
        </w:rPr>
        <w:t xml:space="preserve">εισαγωγών </w:t>
      </w:r>
      <w:r w:rsidRPr="00F732F1">
        <w:rPr>
          <w:szCs w:val="22"/>
        </w:rPr>
        <w:t>στη χώρα (αύξηση εξαγωγών με παράλληλη μείωση εισαγωγών)</w:t>
      </w:r>
      <w:r w:rsidR="00ED1D93" w:rsidRPr="00F732F1">
        <w:rPr>
          <w:szCs w:val="22"/>
        </w:rPr>
        <w:t xml:space="preserve"> κατά την ίδια περίοδο</w:t>
      </w:r>
      <w:r w:rsidRPr="00F732F1">
        <w:rPr>
          <w:szCs w:val="22"/>
        </w:rPr>
        <w:t>.</w:t>
      </w:r>
    </w:p>
    <w:p w14:paraId="04072326" w14:textId="23253CB0" w:rsidR="00BE52FD" w:rsidRDefault="006261EF" w:rsidP="00F24E6A">
      <w:pPr>
        <w:pStyle w:val="DehPressRelease"/>
        <w:jc w:val="both"/>
        <w:rPr>
          <w:szCs w:val="22"/>
        </w:rPr>
      </w:pPr>
      <w:r w:rsidRPr="00943486">
        <w:rPr>
          <w:szCs w:val="22"/>
        </w:rPr>
        <w:t>Η πρόοδος</w:t>
      </w:r>
      <w:r w:rsidR="00DE03D1" w:rsidRPr="00943486">
        <w:rPr>
          <w:szCs w:val="22"/>
        </w:rPr>
        <w:t xml:space="preserve"> </w:t>
      </w:r>
      <w:r w:rsidR="0013466A" w:rsidRPr="00943486">
        <w:rPr>
          <w:szCs w:val="22"/>
        </w:rPr>
        <w:t xml:space="preserve">του Ομίλου </w:t>
      </w:r>
      <w:r w:rsidR="00DE03D1" w:rsidRPr="00943486">
        <w:rPr>
          <w:szCs w:val="22"/>
        </w:rPr>
        <w:t xml:space="preserve">ΔΕΗ </w:t>
      </w:r>
      <w:r w:rsidR="00CB1B74" w:rsidRPr="00943486">
        <w:rPr>
          <w:szCs w:val="22"/>
        </w:rPr>
        <w:t xml:space="preserve">σε θέματα </w:t>
      </w:r>
      <w:r w:rsidR="00CB1B74" w:rsidRPr="00943486">
        <w:rPr>
          <w:szCs w:val="22"/>
          <w:lang w:val="en-US"/>
        </w:rPr>
        <w:t>ESG</w:t>
      </w:r>
      <w:r w:rsidR="00CB1B74" w:rsidRPr="00943486">
        <w:rPr>
          <w:szCs w:val="22"/>
        </w:rPr>
        <w:t xml:space="preserve"> </w:t>
      </w:r>
      <w:r w:rsidR="0056541A" w:rsidRPr="00390090">
        <w:rPr>
          <w:szCs w:val="22"/>
        </w:rPr>
        <w:t>αντικατοπτρίζεται και στις βαθμολογίες που λαμβάνει από διεθνείς οργανισμούς και οίκους αξιολόγησης σε θέματα ESG και πρακτικές βιωσιμότητας</w:t>
      </w:r>
      <w:r w:rsidR="0056541A" w:rsidRPr="002B2368">
        <w:rPr>
          <w:szCs w:val="22"/>
        </w:rPr>
        <w:t xml:space="preserve">. </w:t>
      </w:r>
      <w:r w:rsidR="002B2368">
        <w:rPr>
          <w:szCs w:val="22"/>
        </w:rPr>
        <w:t>Έτσι</w:t>
      </w:r>
      <w:r w:rsidR="0056541A" w:rsidRPr="002B2368">
        <w:rPr>
          <w:szCs w:val="22"/>
        </w:rPr>
        <w:t xml:space="preserve">, </w:t>
      </w:r>
      <w:r w:rsidR="00F24E6A">
        <w:t xml:space="preserve">μετά τις πρόσφατες αναβαθμίσεις από τους </w:t>
      </w:r>
      <w:r w:rsidR="00F24E6A">
        <w:lastRenderedPageBreak/>
        <w:t xml:space="preserve">οργανισμούς CDP, S&amp;P </w:t>
      </w:r>
      <w:proofErr w:type="spellStart"/>
      <w:r w:rsidR="00F24E6A">
        <w:t>Global</w:t>
      </w:r>
      <w:proofErr w:type="spellEnd"/>
      <w:r w:rsidR="00F24E6A">
        <w:t xml:space="preserve"> και ISS, ακόμη ένας διεθνής οίκος - η Sustainalytics - ανέδειξε τη </w:t>
      </w:r>
      <w:r w:rsidR="00F24E6A" w:rsidRPr="00BE52FD">
        <w:rPr>
          <w:szCs w:val="22"/>
        </w:rPr>
        <w:t>βελτίωση του ESG προφίλ της ΔΕΗ, αποτυπώνοντας ένα χαμηλότερο επίπεδο κινδύνου.</w:t>
      </w:r>
      <w:r w:rsidR="00BE52FD" w:rsidRPr="00943486">
        <w:rPr>
          <w:szCs w:val="22"/>
        </w:rPr>
        <w:t xml:space="preserve"> </w:t>
      </w:r>
      <w:r w:rsidR="00BE52FD" w:rsidRPr="00BE52FD">
        <w:rPr>
          <w:szCs w:val="22"/>
        </w:rPr>
        <w:t>Θέματα όπως οι εκπομπές και τα απόβλητα, καθώς και οι σχέσεις με τις τοπικές κοινωνίες, αποτελούν βασικούς πυλώνες της αξιολόγησης της Sustainalytics</w:t>
      </w:r>
      <w:r w:rsidR="009221E4">
        <w:rPr>
          <w:szCs w:val="22"/>
        </w:rPr>
        <w:t xml:space="preserve"> και με την συνεχή </w:t>
      </w:r>
      <w:r w:rsidR="00BE52FD" w:rsidRPr="00BE52FD">
        <w:rPr>
          <w:szCs w:val="22"/>
        </w:rPr>
        <w:t xml:space="preserve">πρόοδο του σχεδίου </w:t>
      </w:r>
      <w:proofErr w:type="spellStart"/>
      <w:r w:rsidR="00BE52FD" w:rsidRPr="003208C4">
        <w:rPr>
          <w:szCs w:val="22"/>
        </w:rPr>
        <w:t>απ</w:t>
      </w:r>
      <w:r w:rsidR="005B7758" w:rsidRPr="003208C4">
        <w:rPr>
          <w:szCs w:val="22"/>
        </w:rPr>
        <w:t>ο</w:t>
      </w:r>
      <w:r w:rsidR="00BE52FD" w:rsidRPr="003208C4">
        <w:rPr>
          <w:szCs w:val="22"/>
        </w:rPr>
        <w:t>ανθρακοποίησης</w:t>
      </w:r>
      <w:proofErr w:type="spellEnd"/>
      <w:r w:rsidR="00BE52FD" w:rsidRPr="00BE52FD">
        <w:rPr>
          <w:szCs w:val="22"/>
        </w:rPr>
        <w:t xml:space="preserve">, </w:t>
      </w:r>
      <w:r w:rsidR="00390090">
        <w:rPr>
          <w:szCs w:val="22"/>
        </w:rPr>
        <w:t>αναμένεται</w:t>
      </w:r>
      <w:r w:rsidR="00BE52FD" w:rsidRPr="00BE52FD">
        <w:rPr>
          <w:szCs w:val="22"/>
        </w:rPr>
        <w:t xml:space="preserve"> περαιτέρω βελτίωση</w:t>
      </w:r>
      <w:r w:rsidR="00390090">
        <w:rPr>
          <w:szCs w:val="22"/>
        </w:rPr>
        <w:t xml:space="preserve"> στην εν λόγω βαθμολογία</w:t>
      </w:r>
      <w:r w:rsidR="00BE52FD" w:rsidRPr="00BE52FD">
        <w:rPr>
          <w:szCs w:val="22"/>
        </w:rPr>
        <w:t>.</w:t>
      </w:r>
    </w:p>
    <w:p w14:paraId="289FEB7A" w14:textId="77777777" w:rsidR="00FC32AB" w:rsidRPr="00A947A2" w:rsidRDefault="00FC32AB" w:rsidP="00AF1E87">
      <w:pPr>
        <w:spacing w:after="160" w:line="259" w:lineRule="auto"/>
        <w:jc w:val="both"/>
        <w:rPr>
          <w:rFonts w:ascii="Ping LCG Regular" w:hAnsi="Ping LCG Regular"/>
          <w:sz w:val="22"/>
          <w:szCs w:val="22"/>
          <w:highlight w:val="yellow"/>
          <w:lang w:val="el-GR"/>
        </w:rPr>
      </w:pPr>
    </w:p>
    <w:p w14:paraId="714E94EE" w14:textId="77777777" w:rsidR="00DE03D1" w:rsidRPr="008455A9" w:rsidRDefault="00DE03D1" w:rsidP="00AF1E87">
      <w:pPr>
        <w:pStyle w:val="DehPressRelease"/>
        <w:jc w:val="both"/>
        <w:rPr>
          <w:b/>
          <w:bCs/>
          <w:szCs w:val="22"/>
        </w:rPr>
      </w:pPr>
      <w:r w:rsidRPr="008455A9">
        <w:rPr>
          <w:b/>
          <w:bCs/>
          <w:szCs w:val="22"/>
        </w:rPr>
        <w:t xml:space="preserve">Οικονομικές επιδόσεις </w:t>
      </w:r>
    </w:p>
    <w:p w14:paraId="580BDD0B" w14:textId="6D707196" w:rsidR="00176DA5" w:rsidRPr="008455A9" w:rsidRDefault="00550444" w:rsidP="00A01B72">
      <w:pPr>
        <w:pStyle w:val="DehPressRelease"/>
        <w:jc w:val="both"/>
        <w:rPr>
          <w:szCs w:val="22"/>
        </w:rPr>
      </w:pPr>
      <w:r w:rsidRPr="00943486">
        <w:rPr>
          <w:b/>
          <w:bCs/>
          <w:szCs w:val="22"/>
        </w:rPr>
        <w:t xml:space="preserve">Τα </w:t>
      </w:r>
      <w:r w:rsidR="00AE5902" w:rsidRPr="00943486">
        <w:rPr>
          <w:b/>
          <w:bCs/>
          <w:szCs w:val="22"/>
        </w:rPr>
        <w:t>προσαρμοσμένα κέρδη προ τόκων, φόρων και αποσβέσεων (EBITDA)</w:t>
      </w:r>
      <w:r w:rsidR="00AE5902" w:rsidRPr="008455A9">
        <w:rPr>
          <w:szCs w:val="22"/>
        </w:rPr>
        <w:t xml:space="preserve"> </w:t>
      </w:r>
      <w:r w:rsidR="00C3786A">
        <w:rPr>
          <w:szCs w:val="22"/>
        </w:rPr>
        <w:t>αυ</w:t>
      </w:r>
      <w:r w:rsidR="00C20A75">
        <w:rPr>
          <w:szCs w:val="22"/>
        </w:rPr>
        <w:t>ξήθηκαν</w:t>
      </w:r>
      <w:r w:rsidR="00C3786A" w:rsidRPr="008455A9">
        <w:rPr>
          <w:szCs w:val="22"/>
        </w:rPr>
        <w:t xml:space="preserve"> </w:t>
      </w:r>
      <w:r w:rsidR="00AE5902" w:rsidRPr="008455A9">
        <w:rPr>
          <w:szCs w:val="22"/>
        </w:rPr>
        <w:t>σε €</w:t>
      </w:r>
      <w:r w:rsidR="002A60F0">
        <w:rPr>
          <w:szCs w:val="22"/>
        </w:rPr>
        <w:t>1</w:t>
      </w:r>
      <w:r w:rsidR="0013344C">
        <w:rPr>
          <w:szCs w:val="22"/>
        </w:rPr>
        <w:t xml:space="preserve"> </w:t>
      </w:r>
      <w:r w:rsidR="00AC0486">
        <w:rPr>
          <w:szCs w:val="22"/>
        </w:rPr>
        <w:t>δισ</w:t>
      </w:r>
      <w:r w:rsidR="00AE5902" w:rsidRPr="008455A9">
        <w:rPr>
          <w:szCs w:val="22"/>
        </w:rPr>
        <w:t>.</w:t>
      </w:r>
      <w:r w:rsidR="00C20A75">
        <w:rPr>
          <w:szCs w:val="22"/>
        </w:rPr>
        <w:t xml:space="preserve"> από €0,9 δισ.</w:t>
      </w:r>
      <w:r w:rsidR="00AE5902" w:rsidRPr="008455A9">
        <w:rPr>
          <w:szCs w:val="22"/>
        </w:rPr>
        <w:t xml:space="preserve">, </w:t>
      </w:r>
      <w:r w:rsidR="00FA4698">
        <w:rPr>
          <w:szCs w:val="22"/>
        </w:rPr>
        <w:t xml:space="preserve">ενώ </w:t>
      </w:r>
      <w:r w:rsidR="00FA4698">
        <w:rPr>
          <w:b/>
          <w:bCs/>
          <w:szCs w:val="22"/>
        </w:rPr>
        <w:t>τ</w:t>
      </w:r>
      <w:r w:rsidR="00176DA5" w:rsidRPr="008455A9">
        <w:rPr>
          <w:b/>
          <w:bCs/>
          <w:szCs w:val="22"/>
        </w:rPr>
        <w:t>α προσαρμοσμένα καθαρά κέρδη</w:t>
      </w:r>
      <w:r w:rsidR="00176DA5" w:rsidRPr="008455A9">
        <w:rPr>
          <w:szCs w:val="22"/>
        </w:rPr>
        <w:t xml:space="preserve"> </w:t>
      </w:r>
      <w:r w:rsidR="00176DA5" w:rsidRPr="00943486">
        <w:rPr>
          <w:b/>
          <w:bCs/>
          <w:szCs w:val="22"/>
        </w:rPr>
        <w:t>μετά την αφαίρεση των δικαιωμάτων μειοψηφίας</w:t>
      </w:r>
      <w:r w:rsidR="00176DA5" w:rsidRPr="007571A5">
        <w:rPr>
          <w:szCs w:val="22"/>
        </w:rPr>
        <w:t xml:space="preserve"> διαμορφώθηκαν σε</w:t>
      </w:r>
      <w:r w:rsidR="00535D85" w:rsidRPr="007571A5">
        <w:rPr>
          <w:szCs w:val="22"/>
        </w:rPr>
        <w:t xml:space="preserve"> €</w:t>
      </w:r>
      <w:r w:rsidR="00FA4698" w:rsidRPr="007571A5">
        <w:rPr>
          <w:szCs w:val="22"/>
        </w:rPr>
        <w:t>0,</w:t>
      </w:r>
      <w:r w:rsidR="00DF73E0" w:rsidRPr="001E560D">
        <w:rPr>
          <w:szCs w:val="22"/>
        </w:rPr>
        <w:t>20</w:t>
      </w:r>
      <w:r w:rsidR="00DF73E0" w:rsidRPr="007571A5">
        <w:rPr>
          <w:szCs w:val="22"/>
        </w:rPr>
        <w:t xml:space="preserve"> </w:t>
      </w:r>
      <w:r w:rsidR="00FA4698" w:rsidRPr="007571A5">
        <w:rPr>
          <w:szCs w:val="22"/>
        </w:rPr>
        <w:t>δι</w:t>
      </w:r>
      <w:r w:rsidR="00CD4207" w:rsidRPr="007571A5">
        <w:rPr>
          <w:szCs w:val="22"/>
        </w:rPr>
        <w:t>σ</w:t>
      </w:r>
      <w:r w:rsidR="00FA4698" w:rsidRPr="007571A5">
        <w:rPr>
          <w:szCs w:val="22"/>
        </w:rPr>
        <w:t xml:space="preserve">. </w:t>
      </w:r>
      <w:r w:rsidR="00176DA5" w:rsidRPr="007571A5">
        <w:rPr>
          <w:szCs w:val="22"/>
        </w:rPr>
        <w:t xml:space="preserve">από </w:t>
      </w:r>
      <w:r w:rsidR="00E75CBD" w:rsidRPr="007571A5">
        <w:rPr>
          <w:szCs w:val="22"/>
        </w:rPr>
        <w:t>€</w:t>
      </w:r>
      <w:r w:rsidR="00FA4698" w:rsidRPr="007571A5">
        <w:rPr>
          <w:szCs w:val="22"/>
        </w:rPr>
        <w:t>0,</w:t>
      </w:r>
      <w:r w:rsidR="00E75CBD" w:rsidRPr="007571A5">
        <w:rPr>
          <w:szCs w:val="22"/>
        </w:rPr>
        <w:t>1</w:t>
      </w:r>
      <w:r w:rsidR="00FA4698" w:rsidRPr="007571A5">
        <w:rPr>
          <w:szCs w:val="22"/>
        </w:rPr>
        <w:t>8</w:t>
      </w:r>
      <w:r w:rsidR="00176DA5" w:rsidRPr="007571A5">
        <w:rPr>
          <w:szCs w:val="22"/>
        </w:rPr>
        <w:t xml:space="preserve"> </w:t>
      </w:r>
      <w:r w:rsidR="00CD4207" w:rsidRPr="007571A5">
        <w:rPr>
          <w:szCs w:val="22"/>
        </w:rPr>
        <w:t>δισ</w:t>
      </w:r>
      <w:r w:rsidR="00176DA5" w:rsidRPr="007571A5">
        <w:rPr>
          <w:szCs w:val="22"/>
        </w:rPr>
        <w:t>.</w:t>
      </w:r>
      <w:r w:rsidR="00176DA5" w:rsidRPr="007571A5">
        <w:rPr>
          <w:rStyle w:val="FootnoteReference"/>
          <w:szCs w:val="22"/>
        </w:rPr>
        <w:footnoteReference w:id="3"/>
      </w:r>
      <w:r w:rsidR="00D1635F">
        <w:rPr>
          <w:szCs w:val="22"/>
        </w:rPr>
        <w:t xml:space="preserve"> </w:t>
      </w:r>
    </w:p>
    <w:p w14:paraId="77BA5793" w14:textId="7B1BE9B3" w:rsidR="00DE03D1" w:rsidRPr="008455A9" w:rsidRDefault="00DE03D1" w:rsidP="00AF1E87">
      <w:pPr>
        <w:pStyle w:val="DehPressRelease"/>
        <w:jc w:val="both"/>
        <w:rPr>
          <w:noProof/>
        </w:rPr>
      </w:pPr>
      <w:r w:rsidRPr="00074E79">
        <w:rPr>
          <w:b/>
          <w:bCs/>
          <w:szCs w:val="22"/>
        </w:rPr>
        <w:t>Ισχυρή</w:t>
      </w:r>
      <w:r w:rsidRPr="008455A9">
        <w:rPr>
          <w:b/>
          <w:bCs/>
          <w:szCs w:val="22"/>
        </w:rPr>
        <w:t xml:space="preserve"> χρηματοοικονομική θέση</w:t>
      </w:r>
      <w:r w:rsidRPr="008455A9">
        <w:rPr>
          <w:szCs w:val="22"/>
        </w:rPr>
        <w:t xml:space="preserve"> παρά </w:t>
      </w:r>
      <w:r w:rsidR="00767058" w:rsidRPr="008455A9">
        <w:rPr>
          <w:szCs w:val="22"/>
        </w:rPr>
        <w:t>τις υψηλές επενδύσεις</w:t>
      </w:r>
      <w:r w:rsidRPr="008455A9">
        <w:rPr>
          <w:szCs w:val="22"/>
        </w:rPr>
        <w:t xml:space="preserve">. Ο δείκτης Καθαρό χρέος/EBITDA διαμορφώθηκε σε </w:t>
      </w:r>
      <w:r w:rsidR="0028461F" w:rsidRPr="008455A9">
        <w:rPr>
          <w:szCs w:val="22"/>
        </w:rPr>
        <w:t>3,</w:t>
      </w:r>
      <w:r w:rsidRPr="008455A9">
        <w:rPr>
          <w:szCs w:val="22"/>
        </w:rPr>
        <w:t>2</w:t>
      </w:r>
      <w:r w:rsidRPr="008455A9">
        <w:rPr>
          <w:szCs w:val="22"/>
          <w:lang w:val="en-US"/>
        </w:rPr>
        <w:t>x</w:t>
      </w:r>
      <w:r w:rsidR="00C20A75">
        <w:rPr>
          <w:szCs w:val="22"/>
        </w:rPr>
        <w:t xml:space="preserve"> λόγω των αυξημένων επενδύσεων</w:t>
      </w:r>
      <w:r w:rsidRPr="008455A9">
        <w:rPr>
          <w:szCs w:val="22"/>
        </w:rPr>
        <w:t>, χαμηλότερα από το όριο του 3,5x που έχει θέσει η ΔΕΗ, με τον καθαρό δανεισμό να διαμορφώνεται σε €</w:t>
      </w:r>
      <w:r w:rsidR="006701BA" w:rsidRPr="008455A9">
        <w:rPr>
          <w:szCs w:val="22"/>
        </w:rPr>
        <w:t>6,0</w:t>
      </w:r>
      <w:r w:rsidRPr="008455A9">
        <w:rPr>
          <w:szCs w:val="22"/>
        </w:rPr>
        <w:t xml:space="preserve"> δισ. στις 3</w:t>
      </w:r>
      <w:r w:rsidR="006701BA" w:rsidRPr="008455A9">
        <w:rPr>
          <w:szCs w:val="22"/>
        </w:rPr>
        <w:t>0</w:t>
      </w:r>
      <w:r w:rsidRPr="008455A9">
        <w:rPr>
          <w:szCs w:val="22"/>
        </w:rPr>
        <w:t>.0</w:t>
      </w:r>
      <w:r w:rsidR="006701BA" w:rsidRPr="008455A9">
        <w:rPr>
          <w:szCs w:val="22"/>
        </w:rPr>
        <w:t>6</w:t>
      </w:r>
      <w:r w:rsidRPr="008455A9">
        <w:rPr>
          <w:szCs w:val="22"/>
        </w:rPr>
        <w:t>.2025</w:t>
      </w:r>
      <w:r w:rsidR="0030429D" w:rsidRPr="008455A9">
        <w:rPr>
          <w:szCs w:val="22"/>
        </w:rPr>
        <w:t xml:space="preserve">, </w:t>
      </w:r>
      <w:r w:rsidR="001C0CB5">
        <w:rPr>
          <w:szCs w:val="22"/>
        </w:rPr>
        <w:t xml:space="preserve">σύμφωνα </w:t>
      </w:r>
      <w:r w:rsidR="00E427AC" w:rsidRPr="00655DCA">
        <w:rPr>
          <w:szCs w:val="22"/>
        </w:rPr>
        <w:t xml:space="preserve">και </w:t>
      </w:r>
      <w:r w:rsidR="001C0CB5">
        <w:rPr>
          <w:szCs w:val="22"/>
        </w:rPr>
        <w:t xml:space="preserve">με </w:t>
      </w:r>
      <w:r w:rsidR="00E427AC" w:rsidRPr="00655DCA">
        <w:rPr>
          <w:szCs w:val="22"/>
        </w:rPr>
        <w:t>τις προβλέψεις του Επιχειρηματικού Σχεδίου</w:t>
      </w:r>
      <w:r w:rsidR="00E427AC">
        <w:rPr>
          <w:szCs w:val="22"/>
        </w:rPr>
        <w:t>,</w:t>
      </w:r>
      <w:r w:rsidR="00E427AC" w:rsidRPr="00655DCA">
        <w:rPr>
          <w:szCs w:val="22"/>
        </w:rPr>
        <w:t xml:space="preserve"> </w:t>
      </w:r>
      <w:r w:rsidR="00925ABE" w:rsidRPr="008455A9">
        <w:rPr>
          <w:szCs w:val="22"/>
        </w:rPr>
        <w:t>έναντι €5,1 δισ.</w:t>
      </w:r>
      <w:r w:rsidR="0030429D" w:rsidRPr="008455A9">
        <w:rPr>
          <w:szCs w:val="22"/>
        </w:rPr>
        <w:t xml:space="preserve"> το τέλος του 2024</w:t>
      </w:r>
      <w:r w:rsidRPr="008455A9">
        <w:rPr>
          <w:szCs w:val="22"/>
        </w:rPr>
        <w:t>.</w:t>
      </w:r>
      <w:r w:rsidRPr="008455A9">
        <w:rPr>
          <w:noProof/>
        </w:rPr>
        <w:t xml:space="preserve"> </w:t>
      </w:r>
    </w:p>
    <w:p w14:paraId="3541F0EC" w14:textId="691BD142" w:rsidR="000F41CF" w:rsidRPr="008455A9" w:rsidRDefault="00E13318" w:rsidP="00AF1E87">
      <w:pPr>
        <w:pStyle w:val="DehPressRelease"/>
        <w:jc w:val="both"/>
        <w:rPr>
          <w:szCs w:val="22"/>
        </w:rPr>
      </w:pPr>
      <w:r w:rsidRPr="00943486">
        <w:rPr>
          <w:b/>
          <w:bCs/>
          <w:szCs w:val="22"/>
        </w:rPr>
        <w:t>Διανομή μερίσματος</w:t>
      </w:r>
      <w:r w:rsidRPr="00943486">
        <w:rPr>
          <w:szCs w:val="22"/>
        </w:rPr>
        <w:t xml:space="preserve">: </w:t>
      </w:r>
      <w:r w:rsidR="00E427AC">
        <w:rPr>
          <w:szCs w:val="22"/>
        </w:rPr>
        <w:t>Στις</w:t>
      </w:r>
      <w:r w:rsidR="00E427AC" w:rsidRPr="008455A9">
        <w:rPr>
          <w:szCs w:val="22"/>
        </w:rPr>
        <w:t xml:space="preserve"> </w:t>
      </w:r>
      <w:r w:rsidR="000F41CF" w:rsidRPr="008455A9">
        <w:rPr>
          <w:szCs w:val="22"/>
        </w:rPr>
        <w:t xml:space="preserve">25 Ιουνίου 2025, η </w:t>
      </w:r>
      <w:r w:rsidR="00A83BD2" w:rsidRPr="008455A9">
        <w:rPr>
          <w:szCs w:val="22"/>
        </w:rPr>
        <w:t>Ετήσια Τακτική Γενική Συνέλευση των Μετόχων</w:t>
      </w:r>
      <w:r w:rsidR="000F41CF" w:rsidRPr="008455A9">
        <w:rPr>
          <w:szCs w:val="22"/>
        </w:rPr>
        <w:t xml:space="preserve"> ενέκρινε τη διανομή μερίσματος συνολικού μικτού ποσού €0,40 ανά μετοχή</w:t>
      </w:r>
      <w:r w:rsidR="00A83BD2" w:rsidRPr="008455A9">
        <w:rPr>
          <w:szCs w:val="22"/>
        </w:rPr>
        <w:t xml:space="preserve">, το οποίο </w:t>
      </w:r>
      <w:r w:rsidR="006331DB">
        <w:rPr>
          <w:szCs w:val="22"/>
        </w:rPr>
        <w:t>καταβλήθηκε</w:t>
      </w:r>
      <w:r w:rsidR="006331DB" w:rsidRPr="008455A9">
        <w:rPr>
          <w:szCs w:val="22"/>
        </w:rPr>
        <w:t xml:space="preserve"> </w:t>
      </w:r>
      <w:r w:rsidR="00E427AC">
        <w:rPr>
          <w:szCs w:val="22"/>
        </w:rPr>
        <w:t>στις</w:t>
      </w:r>
      <w:r w:rsidR="00E427AC" w:rsidRPr="008455A9">
        <w:rPr>
          <w:szCs w:val="22"/>
        </w:rPr>
        <w:t xml:space="preserve"> </w:t>
      </w:r>
      <w:r w:rsidR="00B23FEB" w:rsidRPr="008455A9">
        <w:rPr>
          <w:szCs w:val="22"/>
        </w:rPr>
        <w:t>25 Ιουλίου 2025.</w:t>
      </w:r>
    </w:p>
    <w:p w14:paraId="14302383" w14:textId="77777777" w:rsidR="00210F4B" w:rsidRDefault="00210F4B" w:rsidP="00210F4B">
      <w:pPr>
        <w:rPr>
          <w:b/>
          <w:bCs/>
          <w:szCs w:val="22"/>
          <w:lang w:val="el-GR"/>
        </w:rPr>
      </w:pPr>
    </w:p>
    <w:p w14:paraId="280633BF" w14:textId="237D2CE5" w:rsidR="00DE03D1" w:rsidRPr="00210F4B" w:rsidRDefault="00DE03D1" w:rsidP="00C6337D">
      <w:pPr>
        <w:pStyle w:val="DehPressRelease"/>
        <w:jc w:val="both"/>
        <w:rPr>
          <w:b/>
          <w:bCs/>
          <w:szCs w:val="22"/>
        </w:rPr>
      </w:pPr>
      <w:r w:rsidRPr="00210F4B">
        <w:rPr>
          <w:b/>
          <w:bCs/>
          <w:szCs w:val="22"/>
        </w:rPr>
        <w:t xml:space="preserve">Προοπτικές για το 2025 </w:t>
      </w:r>
    </w:p>
    <w:p w14:paraId="4BA4F7EC" w14:textId="14D67392" w:rsidR="008F4D25" w:rsidRPr="00310C7E" w:rsidRDefault="009D4792" w:rsidP="008F4D25">
      <w:pPr>
        <w:pStyle w:val="DehPressRelease"/>
        <w:jc w:val="both"/>
        <w:rPr>
          <w:color w:val="FF0000"/>
          <w:szCs w:val="22"/>
          <w:highlight w:val="yellow"/>
        </w:rPr>
      </w:pPr>
      <w:r w:rsidRPr="009D4792">
        <w:rPr>
          <w:szCs w:val="22"/>
        </w:rPr>
        <w:t>Τα αποτελέσματα του πρώτου εξαμήνου</w:t>
      </w:r>
      <w:r w:rsidR="00F74989">
        <w:rPr>
          <w:szCs w:val="22"/>
        </w:rPr>
        <w:t xml:space="preserve"> ενισχύ</w:t>
      </w:r>
      <w:r w:rsidR="00774820">
        <w:rPr>
          <w:szCs w:val="22"/>
        </w:rPr>
        <w:t>ουν τις προοπτικές για το σύνολο του έτους. Η ΔΕΗ</w:t>
      </w:r>
      <w:r w:rsidR="008F4D25" w:rsidRPr="007208EC">
        <w:rPr>
          <w:szCs w:val="22"/>
        </w:rPr>
        <w:t xml:space="preserve"> </w:t>
      </w:r>
      <w:r w:rsidR="00CD682A" w:rsidRPr="00CD682A">
        <w:rPr>
          <w:szCs w:val="22"/>
        </w:rPr>
        <w:t>επιβεβαιώνει τους στόχους για το 2025, για προσαρμοσμένο EBITDA ύψους €2 δισ., προσαρμοσμένα καθαρά κέρδη μετά την αφαίρεση των δικαιωμάτων μειοψηφίας άνω των €0,4 δισ. και διανομή μερίσματος ύψους €0,60/μετοχή (</w:t>
      </w:r>
      <w:r w:rsidR="00A246C5">
        <w:rPr>
          <w:szCs w:val="22"/>
        </w:rPr>
        <w:t xml:space="preserve">+50% σε σχέση με την </w:t>
      </w:r>
      <w:r w:rsidR="00A246C5" w:rsidRPr="00CD682A">
        <w:rPr>
          <w:szCs w:val="22"/>
        </w:rPr>
        <w:t xml:space="preserve">εταιρική χρήση του </w:t>
      </w:r>
      <w:r w:rsidR="00A246C5">
        <w:rPr>
          <w:szCs w:val="22"/>
        </w:rPr>
        <w:t xml:space="preserve">2024 και </w:t>
      </w:r>
      <w:r w:rsidR="00CD682A" w:rsidRPr="00CD682A">
        <w:rPr>
          <w:szCs w:val="22"/>
        </w:rPr>
        <w:t>+140% σε σχέση με την εταιρική χρήση του 2023).</w:t>
      </w:r>
      <w:r w:rsidR="00AE16D1">
        <w:rPr>
          <w:szCs w:val="22"/>
        </w:rPr>
        <w:t xml:space="preserve"> </w:t>
      </w:r>
    </w:p>
    <w:p w14:paraId="3413C997" w14:textId="77777777" w:rsidR="00CF332A" w:rsidRPr="00FF30A7" w:rsidRDefault="00CF332A" w:rsidP="00CF332A">
      <w:pPr>
        <w:pStyle w:val="DehPressRelease"/>
        <w:jc w:val="both"/>
        <w:rPr>
          <w:b/>
          <w:bCs/>
          <w:szCs w:val="22"/>
        </w:rPr>
      </w:pPr>
    </w:p>
    <w:p w14:paraId="447EA94B" w14:textId="77777777" w:rsidR="00210F4B" w:rsidRDefault="00210F4B">
      <w:pPr>
        <w:rPr>
          <w:rFonts w:ascii="Ping LCG Regular" w:hAnsi="Ping LCG Regular"/>
          <w:b/>
          <w:bCs/>
          <w:sz w:val="22"/>
          <w:szCs w:val="22"/>
          <w:lang w:val="el-GR"/>
        </w:rPr>
      </w:pPr>
      <w:r w:rsidRPr="004514AE">
        <w:rPr>
          <w:b/>
          <w:bCs/>
          <w:szCs w:val="22"/>
          <w:lang w:val="el-GR"/>
        </w:rPr>
        <w:br w:type="page"/>
      </w:r>
    </w:p>
    <w:p w14:paraId="792F6165" w14:textId="15CF15A9" w:rsidR="00DE03D1" w:rsidRPr="00F41509" w:rsidRDefault="00DE03D1" w:rsidP="00DE03D1">
      <w:pPr>
        <w:pStyle w:val="DehPressRelease"/>
        <w:jc w:val="both"/>
        <w:rPr>
          <w:b/>
          <w:bCs/>
          <w:szCs w:val="22"/>
        </w:rPr>
      </w:pPr>
      <w:r w:rsidRPr="00F41509">
        <w:rPr>
          <w:b/>
          <w:bCs/>
          <w:szCs w:val="22"/>
        </w:rPr>
        <w:lastRenderedPageBreak/>
        <w:t xml:space="preserve">Σχολιάζοντας τα αποτελέσματα, ο Γεώργιος </w:t>
      </w:r>
      <w:proofErr w:type="spellStart"/>
      <w:r w:rsidRPr="00F41509">
        <w:rPr>
          <w:b/>
          <w:bCs/>
          <w:szCs w:val="22"/>
        </w:rPr>
        <w:t>Στάσσης</w:t>
      </w:r>
      <w:proofErr w:type="spellEnd"/>
      <w:r w:rsidRPr="00F41509">
        <w:rPr>
          <w:b/>
          <w:bCs/>
          <w:szCs w:val="22"/>
        </w:rPr>
        <w:t>, Πρόεδρος και Διευθύνων Σύμβουλος της ΔΕΗ δήλωσε:</w:t>
      </w:r>
    </w:p>
    <w:p w14:paraId="0ED299C9" w14:textId="4B786A01" w:rsidR="00D72313" w:rsidRDefault="00734876" w:rsidP="00734876">
      <w:pPr>
        <w:pStyle w:val="DehPressRelease"/>
        <w:jc w:val="both"/>
        <w:rPr>
          <w:i/>
          <w:iCs/>
          <w:szCs w:val="22"/>
        </w:rPr>
      </w:pPr>
      <w:r>
        <w:rPr>
          <w:i/>
          <w:iCs/>
          <w:szCs w:val="22"/>
        </w:rPr>
        <w:t>«</w:t>
      </w:r>
      <w:r w:rsidR="001C5F4B">
        <w:rPr>
          <w:i/>
          <w:iCs/>
          <w:szCs w:val="22"/>
        </w:rPr>
        <w:t>Τ</w:t>
      </w:r>
      <w:r w:rsidR="00D72313" w:rsidRPr="00D72313">
        <w:rPr>
          <w:i/>
          <w:iCs/>
          <w:szCs w:val="22"/>
        </w:rPr>
        <w:t xml:space="preserve">ο πρώτο εξάμηνο του 2025 ολοκληρώθηκε με </w:t>
      </w:r>
      <w:r w:rsidR="002510EB">
        <w:rPr>
          <w:i/>
          <w:iCs/>
          <w:szCs w:val="22"/>
        </w:rPr>
        <w:t>πολύ θετικά</w:t>
      </w:r>
      <w:r w:rsidR="002510EB" w:rsidRPr="00D72313">
        <w:rPr>
          <w:i/>
          <w:iCs/>
          <w:szCs w:val="22"/>
        </w:rPr>
        <w:t xml:space="preserve"> </w:t>
      </w:r>
      <w:r w:rsidR="00D72313" w:rsidRPr="00D72313">
        <w:rPr>
          <w:i/>
          <w:iCs/>
          <w:szCs w:val="22"/>
        </w:rPr>
        <w:t xml:space="preserve">αποτελέσματα, τα οποία ενισχύθηκαν σημαντικά από την </w:t>
      </w:r>
      <w:r w:rsidR="00D72313" w:rsidRPr="00770DB5">
        <w:rPr>
          <w:i/>
          <w:iCs/>
          <w:szCs w:val="22"/>
        </w:rPr>
        <w:t>πολύ καλή πορεία</w:t>
      </w:r>
      <w:r w:rsidR="00D72313" w:rsidRPr="00D72313">
        <w:rPr>
          <w:i/>
          <w:iCs/>
          <w:szCs w:val="22"/>
        </w:rPr>
        <w:t xml:space="preserve"> του δεύτερου τριμήνου</w:t>
      </w:r>
      <w:r w:rsidR="00F35D44">
        <w:rPr>
          <w:i/>
          <w:iCs/>
          <w:szCs w:val="22"/>
        </w:rPr>
        <w:t xml:space="preserve">, </w:t>
      </w:r>
      <w:r w:rsidR="00D72313" w:rsidRPr="00D72313">
        <w:rPr>
          <w:i/>
          <w:iCs/>
          <w:szCs w:val="22"/>
        </w:rPr>
        <w:t xml:space="preserve"> επιδόσεις</w:t>
      </w:r>
      <w:r w:rsidR="00F35D44">
        <w:rPr>
          <w:i/>
          <w:iCs/>
          <w:szCs w:val="22"/>
        </w:rPr>
        <w:t xml:space="preserve"> οι οποίες </w:t>
      </w:r>
      <w:r w:rsidR="00D72313" w:rsidRPr="00D72313">
        <w:rPr>
          <w:i/>
          <w:iCs/>
          <w:szCs w:val="22"/>
        </w:rPr>
        <w:t>επιβεβαιώνουν τη συνέπεια με την οποία υλοποιούμε τις στρατηγικές μας προτεραιότητες.</w:t>
      </w:r>
    </w:p>
    <w:p w14:paraId="4D532F1A" w14:textId="7B4CA470" w:rsidR="000E6CDF" w:rsidRDefault="00734876" w:rsidP="00734876">
      <w:pPr>
        <w:pStyle w:val="DehPressRelease"/>
        <w:jc w:val="both"/>
        <w:rPr>
          <w:i/>
          <w:iCs/>
          <w:szCs w:val="22"/>
        </w:rPr>
      </w:pPr>
      <w:r w:rsidRPr="00734876">
        <w:rPr>
          <w:i/>
          <w:iCs/>
          <w:szCs w:val="22"/>
        </w:rPr>
        <w:t>Οι επενδύσεις ανήλθαν σε €1,</w:t>
      </w:r>
      <w:r w:rsidR="00685D80" w:rsidRPr="00685D80">
        <w:rPr>
          <w:i/>
          <w:iCs/>
          <w:szCs w:val="22"/>
        </w:rPr>
        <w:t>3</w:t>
      </w:r>
      <w:r w:rsidRPr="00734876">
        <w:rPr>
          <w:i/>
          <w:iCs/>
          <w:szCs w:val="22"/>
        </w:rPr>
        <w:t xml:space="preserve"> δισ., με </w:t>
      </w:r>
      <w:r w:rsidR="00E31D25">
        <w:rPr>
          <w:i/>
          <w:iCs/>
          <w:szCs w:val="22"/>
        </w:rPr>
        <w:t>σαφή</w:t>
      </w:r>
      <w:r w:rsidRPr="00734876">
        <w:rPr>
          <w:i/>
          <w:iCs/>
          <w:szCs w:val="22"/>
        </w:rPr>
        <w:t xml:space="preserve"> έμφαση στην ενίσχυση των δικτύων διανομής και την επιτάχυνση της </w:t>
      </w:r>
      <w:r w:rsidR="00953E29">
        <w:rPr>
          <w:i/>
          <w:iCs/>
          <w:szCs w:val="22"/>
        </w:rPr>
        <w:t>υλοποίησης</w:t>
      </w:r>
      <w:r w:rsidRPr="00734876">
        <w:rPr>
          <w:i/>
          <w:iCs/>
          <w:szCs w:val="22"/>
        </w:rPr>
        <w:t xml:space="preserve"> έργων </w:t>
      </w:r>
      <w:r w:rsidR="004E642F">
        <w:rPr>
          <w:i/>
          <w:iCs/>
          <w:szCs w:val="22"/>
        </w:rPr>
        <w:t>Ανανεώσιμων Πηγών Ενέργειας</w:t>
      </w:r>
      <w:r w:rsidR="00FF4E34">
        <w:rPr>
          <w:i/>
          <w:iCs/>
          <w:szCs w:val="22"/>
        </w:rPr>
        <w:t xml:space="preserve"> </w:t>
      </w:r>
      <w:r w:rsidR="00FF4E34" w:rsidRPr="00FD6CF6">
        <w:rPr>
          <w:i/>
          <w:iCs/>
          <w:szCs w:val="22"/>
        </w:rPr>
        <w:t>-</w:t>
      </w:r>
      <w:r w:rsidRPr="00FD6CF6">
        <w:rPr>
          <w:i/>
          <w:iCs/>
          <w:szCs w:val="22"/>
        </w:rPr>
        <w:t xml:space="preserve"> δύο βασικούς πυλώνες</w:t>
      </w:r>
      <w:r w:rsidRPr="00734876">
        <w:rPr>
          <w:i/>
          <w:iCs/>
          <w:szCs w:val="22"/>
        </w:rPr>
        <w:t xml:space="preserve"> της στρατηγικής μας για ανάπτυξη. </w:t>
      </w:r>
      <w:r w:rsidR="002E03FE">
        <w:rPr>
          <w:i/>
          <w:iCs/>
          <w:szCs w:val="22"/>
        </w:rPr>
        <w:t xml:space="preserve">Τα </w:t>
      </w:r>
      <w:r w:rsidR="00EB247F">
        <w:rPr>
          <w:i/>
          <w:iCs/>
          <w:szCs w:val="22"/>
        </w:rPr>
        <w:t>τελευταία</w:t>
      </w:r>
      <w:r w:rsidR="002E03FE">
        <w:rPr>
          <w:i/>
          <w:iCs/>
          <w:szCs w:val="22"/>
        </w:rPr>
        <w:t xml:space="preserve"> </w:t>
      </w:r>
      <w:r w:rsidR="00C30B4D">
        <w:rPr>
          <w:i/>
          <w:iCs/>
          <w:szCs w:val="22"/>
        </w:rPr>
        <w:t>3</w:t>
      </w:r>
      <w:r w:rsidR="00FF61C4">
        <w:rPr>
          <w:i/>
          <w:iCs/>
          <w:szCs w:val="22"/>
        </w:rPr>
        <w:t xml:space="preserve"> </w:t>
      </w:r>
      <w:r w:rsidR="002E03FE">
        <w:rPr>
          <w:i/>
          <w:iCs/>
          <w:szCs w:val="22"/>
        </w:rPr>
        <w:t>χρόνια</w:t>
      </w:r>
      <w:r w:rsidR="00752690">
        <w:rPr>
          <w:i/>
          <w:iCs/>
          <w:szCs w:val="22"/>
        </w:rPr>
        <w:t xml:space="preserve"> η ΔΕΗ έχει υλοποιήσει σημαντικές επενδύσεις</w:t>
      </w:r>
      <w:r w:rsidR="00A1566B">
        <w:rPr>
          <w:i/>
          <w:iCs/>
          <w:szCs w:val="22"/>
        </w:rPr>
        <w:t xml:space="preserve"> ύψους €</w:t>
      </w:r>
      <w:r w:rsidR="00A27511" w:rsidRPr="00074E79">
        <w:rPr>
          <w:i/>
          <w:iCs/>
          <w:szCs w:val="22"/>
        </w:rPr>
        <w:t>6</w:t>
      </w:r>
      <w:r w:rsidR="00A1566B">
        <w:rPr>
          <w:i/>
          <w:iCs/>
          <w:szCs w:val="22"/>
        </w:rPr>
        <w:t xml:space="preserve"> </w:t>
      </w:r>
      <w:r w:rsidR="00A27511">
        <w:rPr>
          <w:i/>
          <w:iCs/>
          <w:szCs w:val="22"/>
        </w:rPr>
        <w:t>δισ</w:t>
      </w:r>
      <w:r w:rsidR="00A1566B">
        <w:rPr>
          <w:i/>
          <w:iCs/>
          <w:szCs w:val="22"/>
        </w:rPr>
        <w:t xml:space="preserve">. οι οποίες </w:t>
      </w:r>
      <w:r w:rsidR="002B35F9">
        <w:rPr>
          <w:i/>
          <w:iCs/>
          <w:szCs w:val="22"/>
        </w:rPr>
        <w:t xml:space="preserve">έχουν συμβάλει τόσο στην αυξημένη </w:t>
      </w:r>
      <w:r w:rsidR="00A1566B">
        <w:rPr>
          <w:i/>
          <w:iCs/>
          <w:szCs w:val="22"/>
        </w:rPr>
        <w:t xml:space="preserve">κερδοφορία </w:t>
      </w:r>
      <w:r w:rsidR="002B35F9">
        <w:rPr>
          <w:i/>
          <w:iCs/>
          <w:szCs w:val="22"/>
        </w:rPr>
        <w:t>του Ομίλου</w:t>
      </w:r>
      <w:r w:rsidR="001E721C">
        <w:rPr>
          <w:i/>
          <w:iCs/>
          <w:szCs w:val="22"/>
        </w:rPr>
        <w:t xml:space="preserve"> όσο και στη </w:t>
      </w:r>
      <w:r w:rsidR="008744AC">
        <w:rPr>
          <w:i/>
          <w:iCs/>
          <w:szCs w:val="22"/>
        </w:rPr>
        <w:t>δυνατότητά</w:t>
      </w:r>
      <w:r w:rsidR="001E721C">
        <w:rPr>
          <w:i/>
          <w:iCs/>
          <w:szCs w:val="22"/>
        </w:rPr>
        <w:t xml:space="preserve"> του να </w:t>
      </w:r>
      <w:r w:rsidR="008744AC">
        <w:rPr>
          <w:i/>
          <w:iCs/>
          <w:szCs w:val="22"/>
        </w:rPr>
        <w:t xml:space="preserve">στηρίζει τους πελάτες του με την παροχή ανταγωνιστικών τιμολογίων. </w:t>
      </w:r>
      <w:r w:rsidR="008466AC" w:rsidRPr="001E560D">
        <w:rPr>
          <w:i/>
          <w:iCs/>
          <w:szCs w:val="22"/>
        </w:rPr>
        <w:t>Ο ισολογισμός μας παραμένει ισχυρός, εξασφαλίζοντας την απαραίτητη χρηματοοικονομική ευελιξία για την υποστήριξη του φιλόδοξου επενδυτικού μας πλάνου.</w:t>
      </w:r>
    </w:p>
    <w:p w14:paraId="5AD9F35F" w14:textId="78E1692A" w:rsidR="00734876" w:rsidRPr="00D75E7F" w:rsidRDefault="00734876" w:rsidP="00734876">
      <w:pPr>
        <w:pStyle w:val="DehPressRelease"/>
        <w:jc w:val="both"/>
        <w:rPr>
          <w:i/>
          <w:iCs/>
          <w:szCs w:val="22"/>
        </w:rPr>
      </w:pPr>
      <w:r w:rsidRPr="00734876">
        <w:rPr>
          <w:i/>
          <w:iCs/>
          <w:szCs w:val="22"/>
        </w:rPr>
        <w:t xml:space="preserve">Οι </w:t>
      </w:r>
      <w:r w:rsidR="00973016">
        <w:rPr>
          <w:i/>
          <w:iCs/>
          <w:szCs w:val="22"/>
        </w:rPr>
        <w:t xml:space="preserve">Ανανεώσιμες Πηγές Ενέργειας </w:t>
      </w:r>
      <w:r w:rsidRPr="00734876">
        <w:rPr>
          <w:i/>
          <w:iCs/>
          <w:szCs w:val="22"/>
        </w:rPr>
        <w:t xml:space="preserve">αντιπροσωπεύουν </w:t>
      </w:r>
      <w:r w:rsidR="000E6CDF" w:rsidRPr="00734876">
        <w:rPr>
          <w:i/>
          <w:iCs/>
          <w:szCs w:val="22"/>
        </w:rPr>
        <w:t xml:space="preserve">πλέον </w:t>
      </w:r>
      <w:r w:rsidRPr="00734876">
        <w:rPr>
          <w:i/>
          <w:iCs/>
          <w:szCs w:val="22"/>
        </w:rPr>
        <w:t xml:space="preserve">το 50% της συνολικής εγκατεστημένης </w:t>
      </w:r>
      <w:r w:rsidRPr="00AD7979">
        <w:rPr>
          <w:i/>
          <w:iCs/>
          <w:szCs w:val="22"/>
        </w:rPr>
        <w:t xml:space="preserve">μας ισχύος, </w:t>
      </w:r>
      <w:r w:rsidR="00BD68D2" w:rsidRPr="00943486">
        <w:rPr>
          <w:i/>
          <w:iCs/>
          <w:szCs w:val="22"/>
        </w:rPr>
        <w:t>και η τάση αυτή συνεχίζεται</w:t>
      </w:r>
      <w:r w:rsidRPr="00AD7979">
        <w:rPr>
          <w:i/>
          <w:iCs/>
          <w:szCs w:val="22"/>
        </w:rPr>
        <w:t>. Μόνο κατά το δεύτερο τρίμηνο, περίπου 0,9</w:t>
      </w:r>
      <w:r w:rsidR="001E25C2" w:rsidRPr="001E25C2">
        <w:rPr>
          <w:i/>
          <w:iCs/>
          <w:szCs w:val="22"/>
        </w:rPr>
        <w:t xml:space="preserve"> </w:t>
      </w:r>
      <w:r w:rsidRPr="00AD7979">
        <w:rPr>
          <w:i/>
          <w:iCs/>
          <w:szCs w:val="22"/>
        </w:rPr>
        <w:t xml:space="preserve">GW πρόσθετης ισχύος </w:t>
      </w:r>
      <w:r w:rsidR="009C5F0F">
        <w:rPr>
          <w:i/>
          <w:iCs/>
          <w:szCs w:val="22"/>
        </w:rPr>
        <w:t>εισήλθαν</w:t>
      </w:r>
      <w:r w:rsidR="009C5F0F" w:rsidRPr="00AD7979">
        <w:rPr>
          <w:i/>
          <w:iCs/>
          <w:szCs w:val="22"/>
        </w:rPr>
        <w:t xml:space="preserve"> </w:t>
      </w:r>
      <w:r w:rsidRPr="00AD7979">
        <w:rPr>
          <w:i/>
          <w:iCs/>
          <w:szCs w:val="22"/>
        </w:rPr>
        <w:t xml:space="preserve">στο στάδιο της κατασκευής, καθώς το χαρτοφυλάκιό μας συνεχίζει να ωριμάζει με σταθερό ρυθμό. Παράλληλα, προχωράμε με απτά βήματα στην υλοποίηση των στόχων μας για </w:t>
      </w:r>
      <w:proofErr w:type="spellStart"/>
      <w:r w:rsidRPr="003208C4">
        <w:rPr>
          <w:i/>
          <w:iCs/>
          <w:szCs w:val="22"/>
        </w:rPr>
        <w:t>απ</w:t>
      </w:r>
      <w:r w:rsidR="006E739B" w:rsidRPr="003208C4">
        <w:rPr>
          <w:i/>
          <w:iCs/>
          <w:szCs w:val="22"/>
        </w:rPr>
        <w:t>ο</w:t>
      </w:r>
      <w:r w:rsidRPr="003208C4">
        <w:rPr>
          <w:i/>
          <w:iCs/>
          <w:szCs w:val="22"/>
        </w:rPr>
        <w:t>ανθρακοποίηση</w:t>
      </w:r>
      <w:proofErr w:type="spellEnd"/>
      <w:r w:rsidRPr="00AD7979">
        <w:rPr>
          <w:i/>
          <w:iCs/>
          <w:szCs w:val="22"/>
        </w:rPr>
        <w:t xml:space="preserve"> και παραμένουμε πλήρως εντός χρονοδιαγράμματος για την </w:t>
      </w:r>
      <w:r w:rsidR="00C75132" w:rsidRPr="006D389E">
        <w:rPr>
          <w:i/>
          <w:iCs/>
          <w:szCs w:val="22"/>
        </w:rPr>
        <w:t>οριστική</w:t>
      </w:r>
      <w:r w:rsidRPr="006D389E">
        <w:rPr>
          <w:i/>
          <w:iCs/>
          <w:szCs w:val="22"/>
        </w:rPr>
        <w:t xml:space="preserve"> απόσυρση του λιγνίτη από το ενεργειακό μας μείγμα έως το 2026.</w:t>
      </w:r>
    </w:p>
    <w:p w14:paraId="678B2D81" w14:textId="7AC867B8" w:rsidR="00734876" w:rsidRPr="00943486" w:rsidRDefault="00734876" w:rsidP="00734876">
      <w:pPr>
        <w:pStyle w:val="DehPressRelease"/>
        <w:jc w:val="both"/>
        <w:rPr>
          <w:i/>
          <w:iCs/>
          <w:szCs w:val="22"/>
        </w:rPr>
      </w:pPr>
      <w:r w:rsidRPr="006D389E">
        <w:rPr>
          <w:i/>
          <w:iCs/>
          <w:szCs w:val="22"/>
        </w:rPr>
        <w:t xml:space="preserve">Συνολικά, η ισχυρή μας επίδοση στο πρώτο εξάμηνο ενισχύει την εμπιστοσύνη μας στην ικανότητά μας να </w:t>
      </w:r>
      <w:r w:rsidR="00E212E5">
        <w:rPr>
          <w:i/>
          <w:iCs/>
          <w:szCs w:val="22"/>
        </w:rPr>
        <w:t>επιτυγχάνουμε</w:t>
      </w:r>
      <w:r w:rsidRPr="006D389E">
        <w:rPr>
          <w:i/>
          <w:iCs/>
          <w:szCs w:val="22"/>
        </w:rPr>
        <w:t xml:space="preserve"> βιώσιμη ανάπτυξη και ελκυστικές αποδόσεις για τους μετόχους μας. Με βάση αυτά τα αποτελέσματα, επαναλαμβάνουμε τη στόχευση για το σύνολο του 2025 για EBITDA ύψους €2 δισ. και </w:t>
      </w:r>
      <w:r w:rsidR="00DD7CA3" w:rsidRPr="006D389E">
        <w:rPr>
          <w:i/>
          <w:iCs/>
          <w:szCs w:val="22"/>
        </w:rPr>
        <w:t xml:space="preserve">καθαρά κέρδη πάνω από </w:t>
      </w:r>
      <w:r w:rsidRPr="006D389E">
        <w:rPr>
          <w:i/>
          <w:iCs/>
          <w:szCs w:val="22"/>
        </w:rPr>
        <w:t xml:space="preserve">€0,4 δισ., στόχοι που παραμένουν απολύτως εφικτοί </w:t>
      </w:r>
      <w:r w:rsidR="001751F3">
        <w:rPr>
          <w:i/>
          <w:iCs/>
          <w:szCs w:val="22"/>
        </w:rPr>
        <w:t>με βάση την</w:t>
      </w:r>
      <w:r w:rsidR="006F067D">
        <w:rPr>
          <w:i/>
          <w:iCs/>
          <w:szCs w:val="22"/>
        </w:rPr>
        <w:t xml:space="preserve"> μέχρι σήμερα απόδοσή μας</w:t>
      </w:r>
      <w:r w:rsidRPr="006D389E">
        <w:rPr>
          <w:i/>
          <w:iCs/>
          <w:szCs w:val="22"/>
        </w:rPr>
        <w:t>.</w:t>
      </w:r>
      <w:r w:rsidRPr="00943486">
        <w:rPr>
          <w:i/>
          <w:iCs/>
          <w:szCs w:val="22"/>
        </w:rPr>
        <w:t>»</w:t>
      </w:r>
    </w:p>
    <w:p w14:paraId="78253203" w14:textId="1243E8ED" w:rsidR="006E371C" w:rsidRPr="00DC0C01" w:rsidRDefault="006E371C" w:rsidP="00E57C3A">
      <w:pPr>
        <w:pStyle w:val="DehPressRelease"/>
        <w:jc w:val="both"/>
        <w:rPr>
          <w:i/>
          <w:iCs/>
          <w:color w:val="FF0000"/>
          <w:szCs w:val="22"/>
        </w:rPr>
      </w:pPr>
    </w:p>
    <w:p w14:paraId="5361F245" w14:textId="77777777" w:rsidR="001F5CA6" w:rsidRPr="006A67CA" w:rsidRDefault="001F5CA6">
      <w:pPr>
        <w:rPr>
          <w:rFonts w:ascii="Ping LCG Regular" w:hAnsi="Ping LCG Regular"/>
          <w:b/>
          <w:bCs/>
          <w:sz w:val="22"/>
          <w:szCs w:val="22"/>
          <w:u w:val="single"/>
          <w:lang w:val="el-GR"/>
        </w:rPr>
      </w:pPr>
      <w:r w:rsidRPr="006A67CA">
        <w:rPr>
          <w:b/>
          <w:bCs/>
          <w:szCs w:val="22"/>
          <w:u w:val="single"/>
          <w:lang w:val="el-GR"/>
        </w:rPr>
        <w:br w:type="page"/>
      </w:r>
    </w:p>
    <w:p w14:paraId="563F56EB" w14:textId="54D390AC" w:rsidR="00DE03D1" w:rsidRPr="00390F52" w:rsidRDefault="00DE03D1" w:rsidP="002D2BD8">
      <w:pPr>
        <w:pStyle w:val="DehPressRelease"/>
        <w:rPr>
          <w:b/>
          <w:bCs/>
          <w:szCs w:val="22"/>
          <w:u w:val="single"/>
        </w:rPr>
      </w:pPr>
      <w:r w:rsidRPr="00390F52">
        <w:rPr>
          <w:b/>
          <w:bCs/>
          <w:szCs w:val="22"/>
          <w:u w:val="single"/>
        </w:rPr>
        <w:lastRenderedPageBreak/>
        <w:t>Περαιτέρω ανάλυση ανά επιχειρηματική δραστηριότ</w:t>
      </w:r>
      <w:r>
        <w:rPr>
          <w:b/>
          <w:bCs/>
          <w:szCs w:val="22"/>
          <w:u w:val="single"/>
        </w:rPr>
        <w:t>ητ</w:t>
      </w:r>
      <w:r w:rsidRPr="00390F52">
        <w:rPr>
          <w:b/>
          <w:bCs/>
          <w:szCs w:val="22"/>
          <w:u w:val="single"/>
        </w:rPr>
        <w:t xml:space="preserve">α </w:t>
      </w:r>
    </w:p>
    <w:p w14:paraId="42271DD7" w14:textId="340A5836" w:rsidR="00DE03D1" w:rsidRPr="00182328" w:rsidRDefault="00DE03D1" w:rsidP="002D2BD8">
      <w:pPr>
        <w:pStyle w:val="DehPressRelease"/>
        <w:rPr>
          <w:b/>
          <w:bCs/>
          <w:szCs w:val="22"/>
        </w:rPr>
      </w:pPr>
      <w:r w:rsidRPr="00390F52">
        <w:rPr>
          <w:b/>
          <w:bCs/>
          <w:szCs w:val="22"/>
        </w:rPr>
        <w:t>Εμπορία</w:t>
      </w:r>
    </w:p>
    <w:p w14:paraId="71B0A595" w14:textId="105CA703" w:rsidR="00DE03D1" w:rsidRPr="0072130F" w:rsidRDefault="00DE03D1" w:rsidP="002D2BD8">
      <w:pPr>
        <w:pStyle w:val="DehPressRelease"/>
        <w:jc w:val="both"/>
        <w:rPr>
          <w:szCs w:val="22"/>
        </w:rPr>
      </w:pPr>
      <w:r w:rsidRPr="001C7289">
        <w:rPr>
          <w:szCs w:val="22"/>
        </w:rPr>
        <w:t xml:space="preserve">Η </w:t>
      </w:r>
      <w:r w:rsidRPr="00B541FB">
        <w:rPr>
          <w:szCs w:val="22"/>
        </w:rPr>
        <w:t xml:space="preserve">ζήτηση ηλεκτρικής ενέργειας </w:t>
      </w:r>
      <w:r w:rsidR="001159EE" w:rsidRPr="00B541FB">
        <w:rPr>
          <w:szCs w:val="22"/>
        </w:rPr>
        <w:t xml:space="preserve">δε σημείωσε σημαντική μεταβολή </w:t>
      </w:r>
      <w:r w:rsidR="001C7289" w:rsidRPr="00B541FB">
        <w:rPr>
          <w:szCs w:val="22"/>
        </w:rPr>
        <w:t xml:space="preserve">το α΄ εξάμηνο του 2025 </w:t>
      </w:r>
      <w:r w:rsidR="001159EE" w:rsidRPr="00B541FB">
        <w:rPr>
          <w:szCs w:val="22"/>
        </w:rPr>
        <w:t>σε σχέση με την αντίστοιχη περίοδο του 2024</w:t>
      </w:r>
      <w:r w:rsidR="00160495" w:rsidRPr="00B541FB">
        <w:rPr>
          <w:szCs w:val="22"/>
        </w:rPr>
        <w:t xml:space="preserve"> </w:t>
      </w:r>
      <w:r w:rsidR="001C7289" w:rsidRPr="00B541FB">
        <w:rPr>
          <w:szCs w:val="22"/>
        </w:rPr>
        <w:t xml:space="preserve">τόσο στην Ελλάδα </w:t>
      </w:r>
      <w:r w:rsidR="00160495" w:rsidRPr="00B541FB">
        <w:rPr>
          <w:szCs w:val="22"/>
        </w:rPr>
        <w:t>(-0,2%)</w:t>
      </w:r>
      <w:r w:rsidR="001C7289" w:rsidRPr="00B541FB">
        <w:rPr>
          <w:color w:val="000000" w:themeColor="text1"/>
          <w:szCs w:val="22"/>
        </w:rPr>
        <w:t xml:space="preserve"> όσο και </w:t>
      </w:r>
      <w:r w:rsidR="001C7289" w:rsidRPr="00074E79">
        <w:rPr>
          <w:szCs w:val="22"/>
        </w:rPr>
        <w:t>σ</w:t>
      </w:r>
      <w:r w:rsidRPr="00074E79">
        <w:rPr>
          <w:szCs w:val="22"/>
        </w:rPr>
        <w:t xml:space="preserve">τη Ρουμανία </w:t>
      </w:r>
      <w:r w:rsidR="00111353" w:rsidRPr="00074E79">
        <w:rPr>
          <w:szCs w:val="22"/>
        </w:rPr>
        <w:t>(+0,</w:t>
      </w:r>
      <w:r w:rsidR="00B541FB" w:rsidRPr="00074E79">
        <w:rPr>
          <w:szCs w:val="22"/>
        </w:rPr>
        <w:t>1</w:t>
      </w:r>
      <w:r w:rsidR="00D16D09" w:rsidRPr="00074E79">
        <w:rPr>
          <w:szCs w:val="22"/>
        </w:rPr>
        <w:t>%</w:t>
      </w:r>
      <w:r w:rsidRPr="00074E79">
        <w:rPr>
          <w:rStyle w:val="FootnoteReference"/>
          <w:szCs w:val="22"/>
        </w:rPr>
        <w:footnoteReference w:id="4"/>
      </w:r>
      <w:r w:rsidR="00EC4448" w:rsidRPr="00074E79">
        <w:rPr>
          <w:szCs w:val="22"/>
        </w:rPr>
        <w:t>)</w:t>
      </w:r>
      <w:r w:rsidR="00CA33FF" w:rsidRPr="00074E79">
        <w:rPr>
          <w:szCs w:val="22"/>
        </w:rPr>
        <w:t>.</w:t>
      </w:r>
      <w:r w:rsidR="00CA33FF">
        <w:t xml:space="preserve"> </w:t>
      </w:r>
    </w:p>
    <w:p w14:paraId="7B7F9B5A" w14:textId="5256C0CC" w:rsidR="00DE03D1" w:rsidRPr="00F84B27" w:rsidRDefault="00DE03D1" w:rsidP="002D2BD8">
      <w:pPr>
        <w:pStyle w:val="DehPressRelease"/>
        <w:jc w:val="both"/>
      </w:pPr>
      <w:r w:rsidRPr="0029539D">
        <w:rPr>
          <w:szCs w:val="22"/>
        </w:rPr>
        <w:t>Το μέσο μερίδιο της ΔΕΗ στην αγορά προμήθειας στην Ελλάδα</w:t>
      </w:r>
      <w:r w:rsidR="00FF5BC2" w:rsidRPr="0029539D">
        <w:rPr>
          <w:szCs w:val="22"/>
        </w:rPr>
        <w:t xml:space="preserve"> </w:t>
      </w:r>
      <w:r w:rsidR="000605A2">
        <w:rPr>
          <w:szCs w:val="22"/>
        </w:rPr>
        <w:t>διαμορφώθηκε</w:t>
      </w:r>
      <w:r w:rsidR="00ED4603" w:rsidRPr="0029539D">
        <w:rPr>
          <w:szCs w:val="22"/>
        </w:rPr>
        <w:t xml:space="preserve"> </w:t>
      </w:r>
      <w:r w:rsidR="00265CCD" w:rsidRPr="0029539D">
        <w:rPr>
          <w:szCs w:val="22"/>
        </w:rPr>
        <w:t>στο 50</w:t>
      </w:r>
      <w:r w:rsidR="00265CCD">
        <w:rPr>
          <w:szCs w:val="22"/>
        </w:rPr>
        <w:t>%</w:t>
      </w:r>
      <w:r w:rsidR="00265CCD" w:rsidRPr="0029539D">
        <w:rPr>
          <w:szCs w:val="22"/>
        </w:rPr>
        <w:t xml:space="preserve"> </w:t>
      </w:r>
      <w:r w:rsidR="000605A2">
        <w:rPr>
          <w:szCs w:val="22"/>
        </w:rPr>
        <w:t xml:space="preserve">παραμένοντας αμετάβλητο </w:t>
      </w:r>
      <w:r w:rsidR="00E0370A" w:rsidRPr="0029539D">
        <w:rPr>
          <w:szCs w:val="22"/>
        </w:rPr>
        <w:t xml:space="preserve">σε σχέση με </w:t>
      </w:r>
      <w:r w:rsidR="00BF5AD3" w:rsidRPr="0029539D">
        <w:rPr>
          <w:szCs w:val="22"/>
        </w:rPr>
        <w:t>πέρυσι</w:t>
      </w:r>
      <w:r w:rsidR="00265CCD">
        <w:rPr>
          <w:szCs w:val="22"/>
        </w:rPr>
        <w:t>.</w:t>
      </w:r>
      <w:r w:rsidRPr="0029539D">
        <w:rPr>
          <w:szCs w:val="22"/>
        </w:rPr>
        <w:t xml:space="preserve"> Στο Διασυνδεδεμένο Σύστημα, το μέσο μερίδιο </w:t>
      </w:r>
      <w:r w:rsidR="00D23AA7">
        <w:rPr>
          <w:szCs w:val="22"/>
        </w:rPr>
        <w:t>διαμορ</w:t>
      </w:r>
      <w:r w:rsidR="002152B1">
        <w:rPr>
          <w:szCs w:val="22"/>
        </w:rPr>
        <w:t>φώθηκε</w:t>
      </w:r>
      <w:r w:rsidR="00D23AA7" w:rsidRPr="0029539D">
        <w:rPr>
          <w:szCs w:val="22"/>
        </w:rPr>
        <w:t xml:space="preserve"> </w:t>
      </w:r>
      <w:r w:rsidR="00770B14" w:rsidRPr="0029539D">
        <w:rPr>
          <w:szCs w:val="22"/>
        </w:rPr>
        <w:t xml:space="preserve">στο </w:t>
      </w:r>
      <w:r w:rsidRPr="0029539D">
        <w:rPr>
          <w:szCs w:val="22"/>
        </w:rPr>
        <w:t xml:space="preserve">50% τον </w:t>
      </w:r>
      <w:r w:rsidR="007C0CCE" w:rsidRPr="0029539D">
        <w:rPr>
          <w:szCs w:val="22"/>
        </w:rPr>
        <w:t>Ιούνιο</w:t>
      </w:r>
      <w:r w:rsidRPr="0029539D">
        <w:rPr>
          <w:szCs w:val="22"/>
        </w:rPr>
        <w:t xml:space="preserve"> 2025</w:t>
      </w:r>
      <w:r w:rsidR="000C0625" w:rsidRPr="0029539D">
        <w:rPr>
          <w:noProof/>
        </w:rPr>
        <w:t xml:space="preserve"> </w:t>
      </w:r>
      <w:r w:rsidRPr="0029539D">
        <w:rPr>
          <w:szCs w:val="22"/>
        </w:rPr>
        <w:t>(έναντι 5</w:t>
      </w:r>
      <w:r w:rsidR="00D23C77" w:rsidRPr="0029539D">
        <w:rPr>
          <w:szCs w:val="22"/>
        </w:rPr>
        <w:t>3</w:t>
      </w:r>
      <w:r w:rsidRPr="0029539D">
        <w:rPr>
          <w:szCs w:val="22"/>
        </w:rPr>
        <w:t>% το</w:t>
      </w:r>
      <w:r w:rsidR="00D23C77" w:rsidRPr="0029539D">
        <w:rPr>
          <w:szCs w:val="22"/>
        </w:rPr>
        <w:t>ν</w:t>
      </w:r>
      <w:r w:rsidRPr="0029539D">
        <w:rPr>
          <w:szCs w:val="22"/>
        </w:rPr>
        <w:t xml:space="preserve"> </w:t>
      </w:r>
      <w:r w:rsidR="00D23C77" w:rsidRPr="0029539D">
        <w:rPr>
          <w:szCs w:val="22"/>
        </w:rPr>
        <w:t>Ιούνιο</w:t>
      </w:r>
      <w:r w:rsidRPr="0029539D">
        <w:rPr>
          <w:szCs w:val="22"/>
        </w:rPr>
        <w:t xml:space="preserve"> 2024</w:t>
      </w:r>
      <w:r w:rsidRPr="0029539D">
        <w:rPr>
          <w:noProof/>
        </w:rPr>
        <w:t>)</w:t>
      </w:r>
      <w:r w:rsidRPr="0029539D">
        <w:rPr>
          <w:szCs w:val="22"/>
        </w:rPr>
        <w:t>. Αναλυτικά ανά τάση,</w:t>
      </w:r>
      <w:r w:rsidR="000C0625" w:rsidRPr="0029539D">
        <w:rPr>
          <w:szCs w:val="22"/>
        </w:rPr>
        <w:t xml:space="preserve"> </w:t>
      </w:r>
      <w:r w:rsidRPr="0029539D">
        <w:rPr>
          <w:szCs w:val="22"/>
        </w:rPr>
        <w:t xml:space="preserve">το μέσο μερίδιο διαμορφώθηκε σε </w:t>
      </w:r>
      <w:r w:rsidR="00DE4845" w:rsidRPr="0029539D">
        <w:rPr>
          <w:szCs w:val="22"/>
        </w:rPr>
        <w:t>16</w:t>
      </w:r>
      <w:r w:rsidRPr="0029539D">
        <w:rPr>
          <w:szCs w:val="22"/>
        </w:rPr>
        <w:t xml:space="preserve">% στην Υψηλή Τάση (από </w:t>
      </w:r>
      <w:r w:rsidR="00DE4845" w:rsidRPr="0029539D">
        <w:rPr>
          <w:szCs w:val="22"/>
        </w:rPr>
        <w:t>18</w:t>
      </w:r>
      <w:r w:rsidRPr="0029539D">
        <w:rPr>
          <w:szCs w:val="22"/>
        </w:rPr>
        <w:t>%), σε 3</w:t>
      </w:r>
      <w:r w:rsidR="005002F6" w:rsidRPr="0029539D">
        <w:rPr>
          <w:szCs w:val="22"/>
        </w:rPr>
        <w:t>5</w:t>
      </w:r>
      <w:r w:rsidRPr="0029539D">
        <w:rPr>
          <w:szCs w:val="22"/>
        </w:rPr>
        <w:t xml:space="preserve">% στη Μέση Τάση (από </w:t>
      </w:r>
      <w:r w:rsidR="00DE4845" w:rsidRPr="0029539D">
        <w:rPr>
          <w:szCs w:val="22"/>
        </w:rPr>
        <w:t>40</w:t>
      </w:r>
      <w:r w:rsidRPr="0029539D">
        <w:rPr>
          <w:szCs w:val="22"/>
        </w:rPr>
        <w:t>%)</w:t>
      </w:r>
      <w:r w:rsidR="000C0625" w:rsidRPr="0029539D">
        <w:rPr>
          <w:szCs w:val="22"/>
        </w:rPr>
        <w:t xml:space="preserve"> </w:t>
      </w:r>
      <w:r w:rsidRPr="0029539D">
        <w:rPr>
          <w:szCs w:val="22"/>
        </w:rPr>
        <w:t>και σε 62% στη Χαμηλή Τάση</w:t>
      </w:r>
      <w:r w:rsidRPr="0029539D">
        <w:rPr>
          <w:szCs w:val="22"/>
          <w:vertAlign w:val="superscript"/>
        </w:rPr>
        <w:footnoteReference w:id="5"/>
      </w:r>
      <w:r w:rsidRPr="0029539D">
        <w:rPr>
          <w:szCs w:val="22"/>
        </w:rPr>
        <w:t xml:space="preserve"> (από 63%). Στη Ρουμανία, το μέσο μερίδιο της ΔΕΗ στις πωλήσεις ηλεκτρικής ενέργειας το α’ </w:t>
      </w:r>
      <w:r w:rsidR="005002F6" w:rsidRPr="0029539D">
        <w:rPr>
          <w:szCs w:val="22"/>
        </w:rPr>
        <w:t>εξάμηνο</w:t>
      </w:r>
      <w:r w:rsidRPr="0029539D">
        <w:rPr>
          <w:szCs w:val="22"/>
        </w:rPr>
        <w:t xml:space="preserve"> 2025 </w:t>
      </w:r>
      <w:r w:rsidR="00002298">
        <w:rPr>
          <w:szCs w:val="22"/>
        </w:rPr>
        <w:t>αυξήθηκε</w:t>
      </w:r>
      <w:r w:rsidR="00A966BD" w:rsidRPr="0029539D">
        <w:rPr>
          <w:szCs w:val="22"/>
        </w:rPr>
        <w:t xml:space="preserve"> </w:t>
      </w:r>
      <w:r w:rsidR="007B5517" w:rsidRPr="0029539D">
        <w:rPr>
          <w:szCs w:val="22"/>
        </w:rPr>
        <w:t>στο 1</w:t>
      </w:r>
      <w:r w:rsidR="00402206">
        <w:rPr>
          <w:szCs w:val="22"/>
        </w:rPr>
        <w:t>6</w:t>
      </w:r>
      <w:r w:rsidR="007B5517" w:rsidRPr="0029539D">
        <w:rPr>
          <w:szCs w:val="22"/>
        </w:rPr>
        <w:t>%</w:t>
      </w:r>
      <w:r w:rsidR="007B5517" w:rsidRPr="0029539D">
        <w:rPr>
          <w:vertAlign w:val="superscript"/>
        </w:rPr>
        <w:footnoteReference w:id="6"/>
      </w:r>
      <w:r w:rsidR="007B5517" w:rsidRPr="0029539D">
        <w:rPr>
          <w:szCs w:val="22"/>
        </w:rPr>
        <w:t xml:space="preserve"> </w:t>
      </w:r>
      <w:r w:rsidR="00002298">
        <w:rPr>
          <w:szCs w:val="22"/>
        </w:rPr>
        <w:t xml:space="preserve">έναντι 15% </w:t>
      </w:r>
      <w:r w:rsidR="00FF0485" w:rsidRPr="0029539D">
        <w:rPr>
          <w:szCs w:val="22"/>
        </w:rPr>
        <w:t>τη</w:t>
      </w:r>
      <w:r w:rsidR="0017486D" w:rsidRPr="0029539D">
        <w:rPr>
          <w:szCs w:val="22"/>
        </w:rPr>
        <w:t xml:space="preserve">ν </w:t>
      </w:r>
      <w:r w:rsidR="00FF0485" w:rsidRPr="0029539D">
        <w:rPr>
          <w:szCs w:val="22"/>
        </w:rPr>
        <w:t>αντίστοιχ</w:t>
      </w:r>
      <w:r w:rsidR="0017486D" w:rsidRPr="0029539D">
        <w:rPr>
          <w:szCs w:val="22"/>
        </w:rPr>
        <w:t>η περυσινή περίοδο</w:t>
      </w:r>
      <w:r w:rsidRPr="0029539D">
        <w:rPr>
          <w:szCs w:val="22"/>
        </w:rPr>
        <w:t>.</w:t>
      </w:r>
      <w:r w:rsidRPr="00F84B27">
        <w:rPr>
          <w:noProof/>
        </w:rPr>
        <w:t xml:space="preserve"> </w:t>
      </w:r>
    </w:p>
    <w:p w14:paraId="6977CF1E" w14:textId="77777777" w:rsidR="00DE03D1" w:rsidRPr="00705628" w:rsidRDefault="00DE03D1" w:rsidP="002D2BD8">
      <w:pPr>
        <w:spacing w:after="160" w:line="259" w:lineRule="auto"/>
        <w:rPr>
          <w:rFonts w:ascii="Ping LCG Regular" w:hAnsi="Ping LCG Regular"/>
          <w:b/>
          <w:bCs/>
          <w:sz w:val="22"/>
          <w:szCs w:val="22"/>
          <w:highlight w:val="yellow"/>
          <w:lang w:val="el-GR"/>
        </w:rPr>
      </w:pPr>
    </w:p>
    <w:p w14:paraId="3451A2D1" w14:textId="48BC0DC1" w:rsidR="00DE03D1" w:rsidRPr="00182328" w:rsidRDefault="00DE03D1" w:rsidP="002D2BD8">
      <w:pPr>
        <w:pStyle w:val="DehPressRelease"/>
        <w:jc w:val="both"/>
        <w:rPr>
          <w:b/>
          <w:bCs/>
          <w:szCs w:val="22"/>
        </w:rPr>
      </w:pPr>
      <w:r w:rsidRPr="00390F52">
        <w:rPr>
          <w:b/>
          <w:bCs/>
          <w:szCs w:val="22"/>
        </w:rPr>
        <w:t>Παραγωγή</w:t>
      </w:r>
    </w:p>
    <w:p w14:paraId="3ADFFB80" w14:textId="464D631C" w:rsidR="00DE03D1" w:rsidRPr="00247D46" w:rsidRDefault="00DE03D1" w:rsidP="002D2BD8">
      <w:pPr>
        <w:pStyle w:val="DehPressRelease"/>
        <w:jc w:val="both"/>
        <w:rPr>
          <w:szCs w:val="22"/>
        </w:rPr>
      </w:pPr>
      <w:r w:rsidRPr="0029539D">
        <w:rPr>
          <w:szCs w:val="22"/>
        </w:rPr>
        <w:t xml:space="preserve">Στην παραγωγή ηλεκτρικής ενέργειας, το μέσο μερίδιο της ΔΕΗ στην Ελλάδα κατέγραψε </w:t>
      </w:r>
      <w:r w:rsidR="006150A0" w:rsidRPr="0029539D">
        <w:rPr>
          <w:szCs w:val="22"/>
        </w:rPr>
        <w:t xml:space="preserve">οριακή </w:t>
      </w:r>
      <w:r w:rsidR="00B01543" w:rsidRPr="0029539D">
        <w:rPr>
          <w:szCs w:val="22"/>
        </w:rPr>
        <w:t>μείωση</w:t>
      </w:r>
      <w:r w:rsidRPr="0029539D">
        <w:rPr>
          <w:szCs w:val="22"/>
        </w:rPr>
        <w:t xml:space="preserve"> σε 3</w:t>
      </w:r>
      <w:r w:rsidR="00B01543" w:rsidRPr="0029539D">
        <w:rPr>
          <w:szCs w:val="22"/>
        </w:rPr>
        <w:t>2</w:t>
      </w:r>
      <w:r w:rsidRPr="0029539D">
        <w:rPr>
          <w:szCs w:val="22"/>
        </w:rPr>
        <w:t xml:space="preserve">% το α’ </w:t>
      </w:r>
      <w:r w:rsidR="00B01543" w:rsidRPr="0029539D">
        <w:rPr>
          <w:szCs w:val="22"/>
        </w:rPr>
        <w:t>εξάμηνο</w:t>
      </w:r>
      <w:r w:rsidRPr="0029539D">
        <w:rPr>
          <w:szCs w:val="22"/>
        </w:rPr>
        <w:t xml:space="preserve"> 2025</w:t>
      </w:r>
      <w:r w:rsidR="000C0625" w:rsidRPr="0029539D">
        <w:rPr>
          <w:szCs w:val="22"/>
        </w:rPr>
        <w:t xml:space="preserve"> </w:t>
      </w:r>
      <w:r w:rsidRPr="0029539D">
        <w:rPr>
          <w:szCs w:val="22"/>
        </w:rPr>
        <w:t xml:space="preserve">από 33% το α’ </w:t>
      </w:r>
      <w:r w:rsidR="00215C62" w:rsidRPr="0029539D">
        <w:rPr>
          <w:szCs w:val="22"/>
        </w:rPr>
        <w:t>εξάμηνο</w:t>
      </w:r>
      <w:r w:rsidRPr="0029539D">
        <w:rPr>
          <w:szCs w:val="22"/>
        </w:rPr>
        <w:t xml:space="preserve"> 2024, λόγω </w:t>
      </w:r>
      <w:r w:rsidR="00705628" w:rsidRPr="0029539D">
        <w:rPr>
          <w:szCs w:val="22"/>
        </w:rPr>
        <w:t xml:space="preserve">μειωμένης παραγωγής </w:t>
      </w:r>
      <w:r w:rsidR="00E4714C" w:rsidRPr="0029539D">
        <w:rPr>
          <w:szCs w:val="22"/>
        </w:rPr>
        <w:t>των υδροηλεκτρικών</w:t>
      </w:r>
      <w:r w:rsidR="00E83CE0" w:rsidRPr="0029539D">
        <w:rPr>
          <w:szCs w:val="22"/>
        </w:rPr>
        <w:t xml:space="preserve">, των </w:t>
      </w:r>
      <w:proofErr w:type="spellStart"/>
      <w:r w:rsidR="00E83CE0" w:rsidRPr="0029539D">
        <w:rPr>
          <w:szCs w:val="22"/>
        </w:rPr>
        <w:t>λιγνιτικών</w:t>
      </w:r>
      <w:proofErr w:type="spellEnd"/>
      <w:r w:rsidR="00E83CE0" w:rsidRPr="0029539D">
        <w:rPr>
          <w:szCs w:val="22"/>
        </w:rPr>
        <w:t xml:space="preserve"> και των </w:t>
      </w:r>
      <w:r w:rsidR="00945CAE" w:rsidRPr="0029539D">
        <w:rPr>
          <w:szCs w:val="22"/>
        </w:rPr>
        <w:t>πετρελαϊκών</w:t>
      </w:r>
      <w:r w:rsidR="00E83CE0" w:rsidRPr="0029539D">
        <w:rPr>
          <w:szCs w:val="22"/>
        </w:rPr>
        <w:t xml:space="preserve"> </w:t>
      </w:r>
      <w:r w:rsidR="009D3115" w:rsidRPr="0029539D">
        <w:rPr>
          <w:szCs w:val="22"/>
        </w:rPr>
        <w:t xml:space="preserve">μονάδων </w:t>
      </w:r>
      <w:r w:rsidRPr="0029539D">
        <w:rPr>
          <w:szCs w:val="22"/>
        </w:rPr>
        <w:t>η οποία αντισταθμίστηκε σ</w:t>
      </w:r>
      <w:r w:rsidR="007178E6" w:rsidRPr="0029539D">
        <w:rPr>
          <w:szCs w:val="22"/>
        </w:rPr>
        <w:t xml:space="preserve">χεδόν στο σύνολό της </w:t>
      </w:r>
      <w:r w:rsidRPr="0029539D">
        <w:rPr>
          <w:szCs w:val="22"/>
        </w:rPr>
        <w:t xml:space="preserve">από την </w:t>
      </w:r>
      <w:r w:rsidR="00A23B26" w:rsidRPr="0029539D">
        <w:rPr>
          <w:szCs w:val="22"/>
        </w:rPr>
        <w:t xml:space="preserve">αυξημένη </w:t>
      </w:r>
      <w:r w:rsidRPr="0029539D">
        <w:rPr>
          <w:szCs w:val="22"/>
        </w:rPr>
        <w:t>παραγωγή</w:t>
      </w:r>
      <w:r w:rsidR="00A23B26" w:rsidRPr="0029539D">
        <w:rPr>
          <w:szCs w:val="22"/>
        </w:rPr>
        <w:t xml:space="preserve"> των </w:t>
      </w:r>
      <w:r w:rsidR="00945CAE" w:rsidRPr="0029539D">
        <w:rPr>
          <w:szCs w:val="22"/>
        </w:rPr>
        <w:t>μονάδων φυσικού αερίου</w:t>
      </w:r>
      <w:r w:rsidRPr="0029539D">
        <w:rPr>
          <w:szCs w:val="22"/>
        </w:rPr>
        <w:t xml:space="preserve">. Στη Ρουμανία, το μέσο μερίδιο της ΔΕΗ στην παραγωγή από ΑΠΕ (αιολικά/ηλιακά) </w:t>
      </w:r>
      <w:r w:rsidR="00812090" w:rsidRPr="00812090">
        <w:rPr>
          <w:szCs w:val="22"/>
        </w:rPr>
        <w:t>διαμορφώθηκε</w:t>
      </w:r>
      <w:r w:rsidR="00812090">
        <w:rPr>
          <w:szCs w:val="22"/>
        </w:rPr>
        <w:t xml:space="preserve"> </w:t>
      </w:r>
      <w:r w:rsidRPr="0029539D">
        <w:rPr>
          <w:szCs w:val="22"/>
        </w:rPr>
        <w:t>σε 2</w:t>
      </w:r>
      <w:r w:rsidR="00366631" w:rsidRPr="0029539D">
        <w:rPr>
          <w:szCs w:val="22"/>
        </w:rPr>
        <w:t>3</w:t>
      </w:r>
      <w:r w:rsidRPr="0029539D">
        <w:rPr>
          <w:szCs w:val="22"/>
        </w:rPr>
        <w:t xml:space="preserve">% </w:t>
      </w:r>
      <w:r w:rsidR="00E76946" w:rsidRPr="0029539D">
        <w:rPr>
          <w:szCs w:val="22"/>
        </w:rPr>
        <w:t xml:space="preserve">το α’ εξάμηνο 2025 </w:t>
      </w:r>
      <w:r w:rsidRPr="0029539D">
        <w:rPr>
          <w:szCs w:val="22"/>
        </w:rPr>
        <w:t xml:space="preserve">από </w:t>
      </w:r>
      <w:r w:rsidR="006A6BD7" w:rsidRPr="0029539D">
        <w:rPr>
          <w:szCs w:val="22"/>
        </w:rPr>
        <w:t>1</w:t>
      </w:r>
      <w:r w:rsidR="006A6BD7" w:rsidRPr="005C24E4">
        <w:rPr>
          <w:szCs w:val="22"/>
        </w:rPr>
        <w:t>4</w:t>
      </w:r>
      <w:r w:rsidRPr="0029539D">
        <w:rPr>
          <w:szCs w:val="22"/>
        </w:rPr>
        <w:t xml:space="preserve">% </w:t>
      </w:r>
      <w:r w:rsidR="00E76946" w:rsidRPr="0029539D">
        <w:rPr>
          <w:szCs w:val="22"/>
        </w:rPr>
        <w:t xml:space="preserve">την ίδια περίοδο πέρυσι, </w:t>
      </w:r>
      <w:r w:rsidRPr="0029539D">
        <w:rPr>
          <w:szCs w:val="22"/>
        </w:rPr>
        <w:t xml:space="preserve">κυρίως λόγω της αύξησης της παραγωγής από αιολική ενέργεια μετά την </w:t>
      </w:r>
      <w:r w:rsidR="00EF7092" w:rsidRPr="0029539D">
        <w:rPr>
          <w:szCs w:val="22"/>
        </w:rPr>
        <w:t>προσθήκη</w:t>
      </w:r>
      <w:r w:rsidR="00B54D4D">
        <w:rPr>
          <w:szCs w:val="22"/>
        </w:rPr>
        <w:t xml:space="preserve"> -</w:t>
      </w:r>
      <w:r w:rsidR="00EF7092" w:rsidRPr="0029539D">
        <w:rPr>
          <w:szCs w:val="22"/>
        </w:rPr>
        <w:t xml:space="preserve"> </w:t>
      </w:r>
      <w:r w:rsidR="00B54D4D" w:rsidRPr="009E1283">
        <w:rPr>
          <w:szCs w:val="22"/>
        </w:rPr>
        <w:t xml:space="preserve">στο τέλος </w:t>
      </w:r>
      <w:r w:rsidR="00F744FE" w:rsidRPr="009E1283">
        <w:rPr>
          <w:szCs w:val="22"/>
        </w:rPr>
        <w:t>του 2024</w:t>
      </w:r>
      <w:r w:rsidR="00B54D4D">
        <w:rPr>
          <w:szCs w:val="22"/>
        </w:rPr>
        <w:t xml:space="preserve"> -</w:t>
      </w:r>
      <w:r w:rsidR="00F744FE" w:rsidRPr="0029539D">
        <w:rPr>
          <w:szCs w:val="22"/>
        </w:rPr>
        <w:t xml:space="preserve"> </w:t>
      </w:r>
      <w:r w:rsidR="004D3D2F" w:rsidRPr="0029539D">
        <w:rPr>
          <w:szCs w:val="22"/>
        </w:rPr>
        <w:t xml:space="preserve">ΑΠΕ </w:t>
      </w:r>
      <w:r w:rsidR="00827D2C" w:rsidRPr="0029539D">
        <w:rPr>
          <w:szCs w:val="22"/>
        </w:rPr>
        <w:t>συνολικής ισχύος</w:t>
      </w:r>
      <w:r w:rsidR="006D454B" w:rsidRPr="0029539D">
        <w:rPr>
          <w:szCs w:val="22"/>
        </w:rPr>
        <w:t xml:space="preserve"> </w:t>
      </w:r>
      <w:r w:rsidR="00967191" w:rsidRPr="0029539D">
        <w:rPr>
          <w:szCs w:val="22"/>
        </w:rPr>
        <w:t>0,7</w:t>
      </w:r>
      <w:r w:rsidR="00717150" w:rsidRPr="00717150">
        <w:rPr>
          <w:szCs w:val="22"/>
        </w:rPr>
        <w:t xml:space="preserve"> </w:t>
      </w:r>
      <w:r w:rsidR="00967191" w:rsidRPr="0029539D">
        <w:rPr>
          <w:szCs w:val="22"/>
          <w:lang w:val="en-US"/>
        </w:rPr>
        <w:t>GW</w:t>
      </w:r>
      <w:r w:rsidRPr="0029539D">
        <w:rPr>
          <w:szCs w:val="22"/>
        </w:rPr>
        <w:t>.</w:t>
      </w:r>
      <w:r w:rsidRPr="004B0ECF">
        <w:rPr>
          <w:szCs w:val="22"/>
        </w:rPr>
        <w:t xml:space="preserve"> </w:t>
      </w:r>
    </w:p>
    <w:p w14:paraId="11881CBF" w14:textId="08F8B6E8" w:rsidR="00DE03D1" w:rsidRDefault="00667DEE" w:rsidP="002D2BD8">
      <w:pPr>
        <w:pStyle w:val="DehPressRelease"/>
        <w:jc w:val="both"/>
      </w:pPr>
      <w:r w:rsidRPr="009E1283">
        <w:rPr>
          <w:rStyle w:val="Strong"/>
          <w:b w:val="0"/>
          <w:bCs w:val="0"/>
        </w:rPr>
        <w:t xml:space="preserve">Παρά την ενίσχυση του χαρτοφυλακίου σε ηλιακή και αιολική ενέργεια, η ένταση εκπομπών </w:t>
      </w:r>
      <w:r w:rsidR="00431057" w:rsidRPr="00431057">
        <w:rPr>
          <w:szCs w:val="22"/>
          <w:lang w:val="en-US"/>
        </w:rPr>
        <w:t>Scope</w:t>
      </w:r>
      <w:r w:rsidR="00431057" w:rsidRPr="00431057">
        <w:rPr>
          <w:szCs w:val="22"/>
        </w:rPr>
        <w:t xml:space="preserve"> 1 CO</w:t>
      </w:r>
      <w:r w:rsidR="00431057" w:rsidRPr="00431057">
        <w:rPr>
          <w:szCs w:val="22"/>
          <w:vertAlign w:val="subscript"/>
        </w:rPr>
        <w:t>2</w:t>
      </w:r>
      <w:r w:rsidRPr="009E1283">
        <w:rPr>
          <w:rStyle w:val="Strong"/>
          <w:b w:val="0"/>
          <w:bCs w:val="0"/>
        </w:rPr>
        <w:t xml:space="preserve"> κατέγραψε μικρή αύξηση σε σχέση με πέρυσι</w:t>
      </w:r>
      <w:r w:rsidR="00431057" w:rsidRPr="009E1283">
        <w:rPr>
          <w:rStyle w:val="Strong"/>
          <w:b w:val="0"/>
          <w:bCs w:val="0"/>
        </w:rPr>
        <w:t xml:space="preserve"> (</w:t>
      </w:r>
      <w:r w:rsidR="00431057" w:rsidRPr="00431057">
        <w:rPr>
          <w:szCs w:val="22"/>
        </w:rPr>
        <w:t xml:space="preserve">0,49 τόνους ανά παραγόμενη </w:t>
      </w:r>
      <w:proofErr w:type="spellStart"/>
      <w:r w:rsidR="00431057" w:rsidRPr="00431057">
        <w:rPr>
          <w:szCs w:val="22"/>
        </w:rPr>
        <w:t>MWh</w:t>
      </w:r>
      <w:proofErr w:type="spellEnd"/>
      <w:r w:rsidR="00431057" w:rsidRPr="00431057">
        <w:rPr>
          <w:szCs w:val="22"/>
        </w:rPr>
        <w:t xml:space="preserve"> από 0,47 τόνους ανά παραγόμενη </w:t>
      </w:r>
      <w:proofErr w:type="spellStart"/>
      <w:r w:rsidR="00431057" w:rsidRPr="00431057">
        <w:rPr>
          <w:szCs w:val="22"/>
        </w:rPr>
        <w:t>MWh</w:t>
      </w:r>
      <w:proofErr w:type="spellEnd"/>
      <w:r w:rsidR="00431057" w:rsidRPr="00431057">
        <w:rPr>
          <w:szCs w:val="22"/>
        </w:rPr>
        <w:t xml:space="preserve"> το α’ εξάμηνο</w:t>
      </w:r>
      <w:r w:rsidR="00431057" w:rsidRPr="001E4090">
        <w:rPr>
          <w:szCs w:val="22"/>
        </w:rPr>
        <w:t xml:space="preserve"> του 2024</w:t>
      </w:r>
      <w:r w:rsidR="00431057">
        <w:rPr>
          <w:szCs w:val="22"/>
        </w:rPr>
        <w:t>)</w:t>
      </w:r>
      <w:r w:rsidR="009F435E">
        <w:rPr>
          <w:rStyle w:val="Strong"/>
        </w:rPr>
        <w:t xml:space="preserve">, </w:t>
      </w:r>
      <w:r>
        <w:t xml:space="preserve">κυρίως </w:t>
      </w:r>
      <w:r w:rsidR="009F435E">
        <w:t>λόγω της</w:t>
      </w:r>
      <w:r>
        <w:t xml:space="preserve"> μεγαλύτερη</w:t>
      </w:r>
      <w:r w:rsidR="009F435E">
        <w:t>ς</w:t>
      </w:r>
      <w:r>
        <w:t xml:space="preserve"> συμμετοχή</w:t>
      </w:r>
      <w:r w:rsidR="00B0254F">
        <w:t>ς</w:t>
      </w:r>
      <w:r>
        <w:t xml:space="preserve"> των μονάδων φυσικού αερίου στο ενεργειακό μείγμα</w:t>
      </w:r>
      <w:r w:rsidR="00431057">
        <w:t xml:space="preserve"> σε συνδυασμό με</w:t>
      </w:r>
      <w:r>
        <w:t xml:space="preserve"> </w:t>
      </w:r>
      <w:r w:rsidR="00B0254F">
        <w:t xml:space="preserve">τη </w:t>
      </w:r>
      <w:r>
        <w:t>μειωμένη παραγωγή από υδροηλεκτρικούς</w:t>
      </w:r>
      <w:r w:rsidR="00431057">
        <w:t xml:space="preserve"> σταθμούς</w:t>
      </w:r>
      <w:r>
        <w:t>.</w:t>
      </w:r>
    </w:p>
    <w:p w14:paraId="64855B20" w14:textId="77777777" w:rsidR="00431057" w:rsidRPr="00751E37" w:rsidRDefault="00431057" w:rsidP="002D2BD8">
      <w:pPr>
        <w:pStyle w:val="DehPressRelease"/>
        <w:jc w:val="both"/>
        <w:rPr>
          <w:szCs w:val="22"/>
          <w:highlight w:val="yellow"/>
        </w:rPr>
      </w:pPr>
    </w:p>
    <w:p w14:paraId="2DC38CA7" w14:textId="52EC1084" w:rsidR="00DE03D1" w:rsidRPr="00182328" w:rsidRDefault="00DE03D1" w:rsidP="002D2BD8">
      <w:pPr>
        <w:pStyle w:val="DehPressRelease"/>
        <w:jc w:val="both"/>
        <w:rPr>
          <w:b/>
          <w:bCs/>
          <w:szCs w:val="22"/>
        </w:rPr>
      </w:pPr>
      <w:r w:rsidRPr="0029539D">
        <w:rPr>
          <w:b/>
          <w:bCs/>
          <w:szCs w:val="22"/>
        </w:rPr>
        <w:t>Διανομή</w:t>
      </w:r>
    </w:p>
    <w:p w14:paraId="7CA5F5F2" w14:textId="166A45C9" w:rsidR="007D389C" w:rsidRPr="009E1283" w:rsidRDefault="007D389C" w:rsidP="002D2BD8">
      <w:pPr>
        <w:pStyle w:val="DehPressRelease"/>
        <w:jc w:val="both"/>
        <w:rPr>
          <w:szCs w:val="22"/>
        </w:rPr>
      </w:pPr>
      <w:r w:rsidRPr="007D389C">
        <w:rPr>
          <w:szCs w:val="22"/>
        </w:rPr>
        <w:t xml:space="preserve">Οι επενδύσεις </w:t>
      </w:r>
      <w:r w:rsidRPr="00C0763D">
        <w:rPr>
          <w:szCs w:val="22"/>
        </w:rPr>
        <w:t>παρέμειναν ισχυρές το α΄</w:t>
      </w:r>
      <w:r w:rsidR="00CC41B2" w:rsidRPr="00C0763D">
        <w:rPr>
          <w:szCs w:val="22"/>
        </w:rPr>
        <w:t xml:space="preserve"> </w:t>
      </w:r>
      <w:r w:rsidRPr="00C0763D">
        <w:rPr>
          <w:szCs w:val="22"/>
        </w:rPr>
        <w:t xml:space="preserve">εξάμηνο του 2025, καταγράφοντας αύξηση 25% σε ετήσια βάση </w:t>
      </w:r>
      <w:r w:rsidR="009D1129" w:rsidRPr="00FE3204">
        <w:rPr>
          <w:szCs w:val="22"/>
        </w:rPr>
        <w:t>(</w:t>
      </w:r>
      <w:r w:rsidR="009D1129" w:rsidRPr="009E1283">
        <w:rPr>
          <w:szCs w:val="22"/>
        </w:rPr>
        <w:t>€0,58 δισ. το α’ εξάμηνο του 2025</w:t>
      </w:r>
      <w:r w:rsidR="009D1129" w:rsidRPr="00FE3204">
        <w:rPr>
          <w:szCs w:val="22"/>
        </w:rPr>
        <w:t xml:space="preserve">) </w:t>
      </w:r>
      <w:r w:rsidRPr="00C0763D">
        <w:rPr>
          <w:szCs w:val="22"/>
        </w:rPr>
        <w:t>συνεχίζοντας την ανοδική πορεία των προηγούμενων ετών. Η αύξηση</w:t>
      </w:r>
      <w:r w:rsidRPr="007D389C">
        <w:rPr>
          <w:szCs w:val="22"/>
        </w:rPr>
        <w:t xml:space="preserve"> αυτή είναι ιδιαίτερα έντονη στην Ελλάδα, όπου οι ανάγκες για </w:t>
      </w:r>
      <w:proofErr w:type="spellStart"/>
      <w:r w:rsidR="00EE730A" w:rsidRPr="009E1283">
        <w:rPr>
          <w:szCs w:val="22"/>
        </w:rPr>
        <w:t>ψηφιοποίηση</w:t>
      </w:r>
      <w:proofErr w:type="spellEnd"/>
      <w:r w:rsidR="001A6DD8">
        <w:rPr>
          <w:szCs w:val="22"/>
        </w:rPr>
        <w:t xml:space="preserve"> του δικτύου διανομής</w:t>
      </w:r>
      <w:r w:rsidR="00EE730A" w:rsidRPr="009E1283">
        <w:rPr>
          <w:szCs w:val="22"/>
        </w:rPr>
        <w:t xml:space="preserve"> </w:t>
      </w:r>
      <w:r w:rsidRPr="007D389C">
        <w:rPr>
          <w:szCs w:val="22"/>
        </w:rPr>
        <w:t xml:space="preserve">παραμένουν υψηλές, όπως αποτυπώνεται και στη χαμηλότερη διείσδυση των έξυπνων μετρητών σε σύγκριση με τη Ρουμανία. Ωστόσο, η διαδικασία εγκατάστασης έξυπνων μετρητών που βρίσκεται ήδη σε εξέλιξη </w:t>
      </w:r>
      <w:r w:rsidR="00923105">
        <w:rPr>
          <w:szCs w:val="22"/>
        </w:rPr>
        <w:t>βελτιώνει συνεχώς την εικόνα</w:t>
      </w:r>
      <w:r w:rsidR="00554930">
        <w:rPr>
          <w:szCs w:val="22"/>
        </w:rPr>
        <w:t xml:space="preserve"> ενώ </w:t>
      </w:r>
      <w:r w:rsidRPr="007D389C">
        <w:rPr>
          <w:szCs w:val="22"/>
        </w:rPr>
        <w:lastRenderedPageBreak/>
        <w:t xml:space="preserve">αναμένεται να επιταχύνει </w:t>
      </w:r>
      <w:r w:rsidR="00554930">
        <w:rPr>
          <w:szCs w:val="22"/>
        </w:rPr>
        <w:t>περαιτέρω</w:t>
      </w:r>
      <w:r w:rsidRPr="007D389C">
        <w:rPr>
          <w:szCs w:val="22"/>
        </w:rPr>
        <w:t xml:space="preserve"> αυτή τη μετάβαση.</w:t>
      </w:r>
      <w:r w:rsidR="009D54DF" w:rsidRPr="009D54DF">
        <w:rPr>
          <w:szCs w:val="22"/>
        </w:rPr>
        <w:t xml:space="preserve"> </w:t>
      </w:r>
      <w:r w:rsidR="003D3C04">
        <w:rPr>
          <w:szCs w:val="22"/>
        </w:rPr>
        <w:t>Στο πλαίσιο αυτό</w:t>
      </w:r>
      <w:r w:rsidR="009D54DF">
        <w:rPr>
          <w:szCs w:val="22"/>
        </w:rPr>
        <w:t>, η</w:t>
      </w:r>
      <w:r w:rsidR="009D54DF" w:rsidRPr="002D0D06">
        <w:rPr>
          <w:szCs w:val="22"/>
        </w:rPr>
        <w:t xml:space="preserve"> διείσδυση των έξυπνων μετρητών βελτιώθηκε στην Ελλάδα σε 16% (από 11%)</w:t>
      </w:r>
      <w:r w:rsidR="00C0763D">
        <w:rPr>
          <w:szCs w:val="22"/>
        </w:rPr>
        <w:t xml:space="preserve"> και </w:t>
      </w:r>
      <w:r w:rsidR="009D54DF" w:rsidRPr="002D0D06">
        <w:rPr>
          <w:szCs w:val="22"/>
        </w:rPr>
        <w:t xml:space="preserve">στη Ρουμανία </w:t>
      </w:r>
      <w:r w:rsidR="00C0763D">
        <w:rPr>
          <w:szCs w:val="22"/>
        </w:rPr>
        <w:t>σε</w:t>
      </w:r>
      <w:r w:rsidR="009D54DF" w:rsidRPr="002D0D06">
        <w:rPr>
          <w:szCs w:val="22"/>
        </w:rPr>
        <w:t xml:space="preserve"> 58% (από 51%)</w:t>
      </w:r>
      <w:r w:rsidR="009D54DF" w:rsidRPr="002D0D06">
        <w:rPr>
          <w:rStyle w:val="FootnoteReference"/>
          <w:szCs w:val="22"/>
        </w:rPr>
        <w:footnoteReference w:id="7"/>
      </w:r>
      <w:r w:rsidR="009D54DF" w:rsidRPr="002D0D06">
        <w:rPr>
          <w:szCs w:val="22"/>
        </w:rPr>
        <w:t>.</w:t>
      </w:r>
    </w:p>
    <w:p w14:paraId="2D38CA64" w14:textId="167E8A7C" w:rsidR="00DE03D1" w:rsidRPr="0068261C" w:rsidRDefault="00C058AC" w:rsidP="002D2BD8">
      <w:pPr>
        <w:pStyle w:val="DehPressRelease"/>
        <w:jc w:val="both"/>
        <w:rPr>
          <w:szCs w:val="22"/>
        </w:rPr>
      </w:pPr>
      <w:r w:rsidRPr="005C24E4">
        <w:t xml:space="preserve">Σε λειτουργικό επίπεδο, η απόδοση </w:t>
      </w:r>
      <w:r w:rsidR="00874D03" w:rsidRPr="00F02C94">
        <w:rPr>
          <w:szCs w:val="22"/>
        </w:rPr>
        <w:t>συνεχίζει να βελτιώνεται</w:t>
      </w:r>
      <w:r w:rsidRPr="00F02C94">
        <w:rPr>
          <w:szCs w:val="22"/>
        </w:rPr>
        <w:t>.</w:t>
      </w:r>
      <w:r w:rsidRPr="005C24E4">
        <w:t xml:space="preserve"> Στην Ελλάδα, ο δείκτης SAIDI </w:t>
      </w:r>
      <w:r w:rsidR="00554F13" w:rsidRPr="005C24E4">
        <w:t xml:space="preserve">μειώθηκε </w:t>
      </w:r>
      <w:r w:rsidRPr="005C24E4">
        <w:t xml:space="preserve">στα </w:t>
      </w:r>
      <w:r w:rsidR="00B32553" w:rsidRPr="005C24E4">
        <w:t xml:space="preserve">58 </w:t>
      </w:r>
      <w:r w:rsidRPr="005C24E4">
        <w:t xml:space="preserve">λεπτά </w:t>
      </w:r>
      <w:r w:rsidR="00A3308E" w:rsidRPr="00F02C94">
        <w:rPr>
          <w:szCs w:val="22"/>
        </w:rPr>
        <w:t>(από 59 λεπτά)</w:t>
      </w:r>
      <w:r w:rsidRPr="00F02C94">
        <w:rPr>
          <w:szCs w:val="22"/>
        </w:rPr>
        <w:t xml:space="preserve"> </w:t>
      </w:r>
      <w:r w:rsidR="00DA187B" w:rsidRPr="005C24E4">
        <w:t xml:space="preserve">και </w:t>
      </w:r>
      <w:r w:rsidRPr="005C24E4">
        <w:t xml:space="preserve">στη Ρουμανία </w:t>
      </w:r>
      <w:r w:rsidR="00DC628E" w:rsidRPr="005C24E4">
        <w:t>μειώθηκε</w:t>
      </w:r>
      <w:r w:rsidRPr="005C24E4">
        <w:t xml:space="preserve"> στα 3</w:t>
      </w:r>
      <w:r w:rsidR="00DC628E" w:rsidRPr="005C24E4">
        <w:t>6</w:t>
      </w:r>
      <w:r w:rsidRPr="005C24E4">
        <w:t xml:space="preserve"> λεπτά</w:t>
      </w:r>
      <w:r w:rsidR="00A3308E" w:rsidRPr="00F02C94">
        <w:rPr>
          <w:szCs w:val="22"/>
        </w:rPr>
        <w:t xml:space="preserve"> (από </w:t>
      </w:r>
      <w:r w:rsidR="00A3308E" w:rsidRPr="00EE68BB">
        <w:rPr>
          <w:szCs w:val="22"/>
        </w:rPr>
        <w:t>37 λεπτά)</w:t>
      </w:r>
      <w:r w:rsidRPr="00EE68BB">
        <w:rPr>
          <w:szCs w:val="22"/>
        </w:rPr>
        <w:t xml:space="preserve">. </w:t>
      </w:r>
      <w:r w:rsidR="00A3308E" w:rsidRPr="00EE68BB">
        <w:rPr>
          <w:szCs w:val="22"/>
        </w:rPr>
        <w:t>Μείωση καταγράφηκε και στον δείκτη</w:t>
      </w:r>
      <w:r w:rsidRPr="00EE68BB">
        <w:t xml:space="preserve"> SAIFI και στις δύο </w:t>
      </w:r>
      <w:r w:rsidR="004071A6" w:rsidRPr="00EE68BB">
        <w:t>χώρες</w:t>
      </w:r>
      <w:r w:rsidR="00967173" w:rsidRPr="00EE68BB">
        <w:rPr>
          <w:szCs w:val="22"/>
        </w:rPr>
        <w:t xml:space="preserve"> </w:t>
      </w:r>
      <w:r w:rsidR="00541648" w:rsidRPr="00EE68BB">
        <w:rPr>
          <w:szCs w:val="22"/>
        </w:rPr>
        <w:t>(0,72 από 0</w:t>
      </w:r>
      <w:r w:rsidR="00001C4A" w:rsidRPr="001E560D">
        <w:rPr>
          <w:szCs w:val="22"/>
        </w:rPr>
        <w:t>,</w:t>
      </w:r>
      <w:r w:rsidR="00541648" w:rsidRPr="00EE68BB">
        <w:rPr>
          <w:szCs w:val="22"/>
        </w:rPr>
        <w:t>78 στην Ελλάδα και 0,96 από 1,15 στη Ρουμανία)</w:t>
      </w:r>
      <w:r w:rsidRPr="00EE68BB">
        <w:rPr>
          <w:szCs w:val="22"/>
        </w:rPr>
        <w:t>,</w:t>
      </w:r>
      <w:r w:rsidRPr="00EE68BB">
        <w:t xml:space="preserve"> αντανακλώντας τις συνεχείς προσπάθειές μας</w:t>
      </w:r>
      <w:r w:rsidRPr="005C24E4">
        <w:t xml:space="preserve"> για ενίσχυση της αξιοπιστίας των δικτύων</w:t>
      </w:r>
      <w:r w:rsidR="00851535">
        <w:rPr>
          <w:rStyle w:val="FootnoteReference"/>
        </w:rPr>
        <w:footnoteReference w:id="8"/>
      </w:r>
      <w:r w:rsidRPr="005C24E4">
        <w:t>.</w:t>
      </w:r>
      <w:r w:rsidR="00A35888">
        <w:rPr>
          <w:szCs w:val="22"/>
        </w:rPr>
        <w:t xml:space="preserve"> </w:t>
      </w:r>
      <w:r w:rsidR="00541648">
        <w:rPr>
          <w:b/>
          <w:bCs/>
          <w:color w:val="FF0000"/>
        </w:rPr>
        <w:t xml:space="preserve"> </w:t>
      </w:r>
    </w:p>
    <w:p w14:paraId="3FA29375" w14:textId="77777777" w:rsidR="009A0C83" w:rsidRDefault="009A0C83" w:rsidP="002D2BD8">
      <w:pPr>
        <w:pStyle w:val="DehPressRelease"/>
        <w:jc w:val="both"/>
        <w:rPr>
          <w:b/>
          <w:bCs/>
          <w:szCs w:val="22"/>
        </w:rPr>
      </w:pPr>
    </w:p>
    <w:p w14:paraId="76B9183F" w14:textId="4DC953D9" w:rsidR="00DE03D1" w:rsidRPr="005B51C4" w:rsidRDefault="00DE03D1" w:rsidP="002D2BD8">
      <w:pPr>
        <w:pStyle w:val="DehPressRelease"/>
        <w:jc w:val="both"/>
        <w:rPr>
          <w:b/>
          <w:bCs/>
          <w:szCs w:val="22"/>
        </w:rPr>
      </w:pPr>
      <w:r w:rsidRPr="005B51C4">
        <w:rPr>
          <w:b/>
          <w:bCs/>
          <w:szCs w:val="22"/>
        </w:rPr>
        <w:t xml:space="preserve">Τηλεπικοινωνίες </w:t>
      </w:r>
    </w:p>
    <w:p w14:paraId="00B351E2" w14:textId="1A5FBF95" w:rsidR="00530464" w:rsidRPr="00751E37" w:rsidRDefault="00E31503" w:rsidP="002D2BD8">
      <w:pPr>
        <w:pStyle w:val="DehPressRelease"/>
        <w:jc w:val="both"/>
        <w:rPr>
          <w:szCs w:val="22"/>
        </w:rPr>
      </w:pPr>
      <w:r w:rsidRPr="00E31503">
        <w:rPr>
          <w:szCs w:val="22"/>
        </w:rPr>
        <w:t xml:space="preserve">Η </w:t>
      </w:r>
      <w:r w:rsidRPr="00660070">
        <w:rPr>
          <w:szCs w:val="22"/>
        </w:rPr>
        <w:t xml:space="preserve">δυναμική ανάπτυξη του προηγμένου δικτύου </w:t>
      </w:r>
      <w:proofErr w:type="spellStart"/>
      <w:r w:rsidRPr="00660070">
        <w:rPr>
          <w:szCs w:val="22"/>
        </w:rPr>
        <w:t>Fiber</w:t>
      </w:r>
      <w:proofErr w:type="spellEnd"/>
      <w:r w:rsidR="0099058F" w:rsidRPr="003B4EB4">
        <w:rPr>
          <w:szCs w:val="22"/>
        </w:rPr>
        <w:t xml:space="preserve"> </w:t>
      </w:r>
      <w:proofErr w:type="spellStart"/>
      <w:r w:rsidRPr="00660070">
        <w:rPr>
          <w:szCs w:val="22"/>
        </w:rPr>
        <w:t>to</w:t>
      </w:r>
      <w:proofErr w:type="spellEnd"/>
      <w:r w:rsidR="0099058F" w:rsidRPr="003B4EB4">
        <w:rPr>
          <w:szCs w:val="22"/>
        </w:rPr>
        <w:t xml:space="preserve"> </w:t>
      </w:r>
      <w:r w:rsidRPr="00660070">
        <w:rPr>
          <w:szCs w:val="22"/>
        </w:rPr>
        <w:t>the</w:t>
      </w:r>
      <w:r w:rsidR="0099058F" w:rsidRPr="003B4EB4">
        <w:rPr>
          <w:szCs w:val="22"/>
        </w:rPr>
        <w:t xml:space="preserve"> </w:t>
      </w:r>
      <w:proofErr w:type="spellStart"/>
      <w:r w:rsidRPr="00660070">
        <w:rPr>
          <w:szCs w:val="22"/>
        </w:rPr>
        <w:t>Home</w:t>
      </w:r>
      <w:proofErr w:type="spellEnd"/>
      <w:r w:rsidR="0099058F" w:rsidRPr="003B4EB4">
        <w:rPr>
          <w:szCs w:val="22"/>
        </w:rPr>
        <w:t xml:space="preserve"> (</w:t>
      </w:r>
      <w:r w:rsidR="0099058F">
        <w:rPr>
          <w:szCs w:val="22"/>
          <w:lang w:val="en-US"/>
        </w:rPr>
        <w:t>FTTH</w:t>
      </w:r>
      <w:r w:rsidR="0099058F" w:rsidRPr="003B4EB4">
        <w:rPr>
          <w:szCs w:val="22"/>
        </w:rPr>
        <w:t>)</w:t>
      </w:r>
      <w:r w:rsidRPr="00660070">
        <w:rPr>
          <w:szCs w:val="22"/>
        </w:rPr>
        <w:t xml:space="preserve"> της ΔΕΗ </w:t>
      </w:r>
      <w:r w:rsidR="00C13C1F">
        <w:rPr>
          <w:szCs w:val="22"/>
        </w:rPr>
        <w:t xml:space="preserve">στην Ελλάδα </w:t>
      </w:r>
      <w:r w:rsidRPr="00660070">
        <w:rPr>
          <w:szCs w:val="22"/>
        </w:rPr>
        <w:t xml:space="preserve">συνεχίζεται με ταχείς ρυθμούς, έχοντας ήδη φτάσει σε περίπου 1,3 εκατομμύρια νοικοκυριά/επιχειρήσεις </w:t>
      </w:r>
      <w:r w:rsidR="00DE03D1" w:rsidRPr="00EC239A">
        <w:rPr>
          <w:szCs w:val="22"/>
        </w:rPr>
        <w:t xml:space="preserve">ως το τέλος </w:t>
      </w:r>
      <w:r w:rsidR="00446A6E" w:rsidRPr="00EC239A">
        <w:rPr>
          <w:szCs w:val="22"/>
        </w:rPr>
        <w:t>Ιουνίου</w:t>
      </w:r>
      <w:r w:rsidR="00DE03D1" w:rsidRPr="00EC239A">
        <w:rPr>
          <w:szCs w:val="22"/>
        </w:rPr>
        <w:t xml:space="preserve"> 2025, </w:t>
      </w:r>
      <w:r w:rsidR="0063125A" w:rsidRPr="00EC239A">
        <w:rPr>
          <w:szCs w:val="22"/>
        </w:rPr>
        <w:t xml:space="preserve">σημειώνοντας αύξηση 235% </w:t>
      </w:r>
      <w:r w:rsidR="00DE03D1" w:rsidRPr="00EC239A">
        <w:rPr>
          <w:szCs w:val="22"/>
        </w:rPr>
        <w:t xml:space="preserve">σε σχέση με </w:t>
      </w:r>
      <w:r w:rsidR="00195000" w:rsidRPr="00EC239A">
        <w:rPr>
          <w:szCs w:val="22"/>
        </w:rPr>
        <w:t xml:space="preserve">τον Ιούνιο του </w:t>
      </w:r>
      <w:r w:rsidR="00DE03D1" w:rsidRPr="00EC239A">
        <w:rPr>
          <w:szCs w:val="22"/>
        </w:rPr>
        <w:t>2024</w:t>
      </w:r>
      <w:r w:rsidR="00DE03D1" w:rsidRPr="00660070">
        <w:rPr>
          <w:szCs w:val="22"/>
        </w:rPr>
        <w:t xml:space="preserve"> </w:t>
      </w:r>
      <w:r w:rsidR="00DE03D1" w:rsidRPr="00EC239A">
        <w:rPr>
          <w:szCs w:val="22"/>
        </w:rPr>
        <w:t xml:space="preserve">και </w:t>
      </w:r>
      <w:r w:rsidR="00B53F88" w:rsidRPr="00EC239A">
        <w:rPr>
          <w:szCs w:val="22"/>
        </w:rPr>
        <w:t>94</w:t>
      </w:r>
      <w:r w:rsidR="00DE03D1" w:rsidRPr="00EC239A">
        <w:rPr>
          <w:szCs w:val="22"/>
        </w:rPr>
        <w:t xml:space="preserve">% σε σχέση με </w:t>
      </w:r>
      <w:r w:rsidR="00F32E0F" w:rsidRPr="00EC239A">
        <w:rPr>
          <w:szCs w:val="22"/>
        </w:rPr>
        <w:t xml:space="preserve">το </w:t>
      </w:r>
      <w:r w:rsidR="00DE03D1" w:rsidRPr="00EC239A">
        <w:rPr>
          <w:szCs w:val="22"/>
        </w:rPr>
        <w:t>τέλος του 2024. Στόχος, το δίκτυο FTTH να φτάσει σε 1,5 εκατ. νοικοκυριά και επιχειρήσεις μέχρι το τέλος του 2025.</w:t>
      </w:r>
      <w:r w:rsidR="004E343C" w:rsidRPr="004E343C">
        <w:rPr>
          <w:szCs w:val="22"/>
        </w:rPr>
        <w:t xml:space="preserve"> </w:t>
      </w:r>
    </w:p>
    <w:p w14:paraId="30AB7288" w14:textId="2394856F" w:rsidR="00E6762E" w:rsidRPr="00EC239A" w:rsidRDefault="00660070" w:rsidP="00E6762E">
      <w:pPr>
        <w:pStyle w:val="DehPressRelease"/>
        <w:jc w:val="both"/>
        <w:rPr>
          <w:szCs w:val="22"/>
        </w:rPr>
      </w:pPr>
      <w:r w:rsidRPr="00AA2C91">
        <w:rPr>
          <w:szCs w:val="22"/>
        </w:rPr>
        <w:t>Επιπλέον,</w:t>
      </w:r>
      <w:r w:rsidR="007D21CE" w:rsidRPr="00AA2C91">
        <w:rPr>
          <w:szCs w:val="22"/>
        </w:rPr>
        <w:t xml:space="preserve"> ο Όμιλος ΔΕΗ </w:t>
      </w:r>
      <w:r w:rsidR="00D05BF1" w:rsidRPr="00AA2C91">
        <w:rPr>
          <w:szCs w:val="22"/>
        </w:rPr>
        <w:t>πραγματοποίησ</w:t>
      </w:r>
      <w:r w:rsidR="0066425C" w:rsidRPr="00EC239A">
        <w:rPr>
          <w:szCs w:val="22"/>
        </w:rPr>
        <w:t>ε</w:t>
      </w:r>
      <w:r w:rsidR="00D05BF1" w:rsidRPr="00AA2C91">
        <w:rPr>
          <w:szCs w:val="22"/>
        </w:rPr>
        <w:t xml:space="preserve"> </w:t>
      </w:r>
      <w:r w:rsidR="007D21CE" w:rsidRPr="00AA2C91">
        <w:rPr>
          <w:szCs w:val="22"/>
        </w:rPr>
        <w:t>τον Ιούνιο</w:t>
      </w:r>
      <w:r w:rsidR="002D0F9C">
        <w:rPr>
          <w:szCs w:val="22"/>
        </w:rPr>
        <w:t xml:space="preserve"> του 2025</w:t>
      </w:r>
      <w:r w:rsidR="007D21CE" w:rsidRPr="00AA2C91">
        <w:rPr>
          <w:szCs w:val="22"/>
        </w:rPr>
        <w:t xml:space="preserve"> </w:t>
      </w:r>
      <w:r w:rsidR="00D05BF1" w:rsidRPr="00AA2C91">
        <w:rPr>
          <w:szCs w:val="22"/>
        </w:rPr>
        <w:t xml:space="preserve">την είσοδό του στην αγορά λιανικής τηλεπικοινωνιών, λανσάροντας </w:t>
      </w:r>
      <w:r w:rsidR="00E6762E" w:rsidRPr="00EC239A">
        <w:rPr>
          <w:szCs w:val="22"/>
        </w:rPr>
        <w:t xml:space="preserve">την νέα υπηρεσία λιανικής διάθεσης </w:t>
      </w:r>
      <w:proofErr w:type="spellStart"/>
      <w:r w:rsidR="00E6762E" w:rsidRPr="00EC239A">
        <w:rPr>
          <w:szCs w:val="22"/>
        </w:rPr>
        <w:t>internet</w:t>
      </w:r>
      <w:proofErr w:type="spellEnd"/>
      <w:r w:rsidR="00E6762E" w:rsidRPr="00EC239A">
        <w:rPr>
          <w:szCs w:val="22"/>
        </w:rPr>
        <w:t xml:space="preserve"> </w:t>
      </w:r>
      <w:proofErr w:type="spellStart"/>
      <w:r w:rsidR="00E6762E" w:rsidRPr="00EC239A">
        <w:rPr>
          <w:szCs w:val="22"/>
        </w:rPr>
        <w:t>only</w:t>
      </w:r>
      <w:proofErr w:type="spellEnd"/>
      <w:r w:rsidR="00E6762E" w:rsidRPr="00EC239A">
        <w:rPr>
          <w:szCs w:val="22"/>
        </w:rPr>
        <w:t xml:space="preserve">, η οποία παρέχεται μέσω του </w:t>
      </w:r>
      <w:r w:rsidR="002258FA">
        <w:rPr>
          <w:szCs w:val="22"/>
        </w:rPr>
        <w:t>παραπάνω δικτύου</w:t>
      </w:r>
      <w:r w:rsidR="00E6762E" w:rsidRPr="00EC239A">
        <w:rPr>
          <w:szCs w:val="22"/>
        </w:rPr>
        <w:t>, που αποτελεί το ταχύτερα αναπτυσσόμενο δίκτυο οπτικών ινών στην χώρα.</w:t>
      </w:r>
      <w:r w:rsidR="00AA2C91" w:rsidRPr="00EC239A">
        <w:rPr>
          <w:szCs w:val="22"/>
        </w:rPr>
        <w:t xml:space="preserve">  </w:t>
      </w:r>
      <w:r w:rsidR="00162126">
        <w:rPr>
          <w:szCs w:val="22"/>
        </w:rPr>
        <w:t xml:space="preserve">Η εν λόγω υπηρεσία </w:t>
      </w:r>
      <w:r w:rsidR="002B4DB0">
        <w:rPr>
          <w:szCs w:val="22"/>
        </w:rPr>
        <w:t xml:space="preserve">προσφέρει </w:t>
      </w:r>
      <w:r w:rsidR="002B4DB0" w:rsidRPr="002B4DB0">
        <w:rPr>
          <w:szCs w:val="22"/>
        </w:rPr>
        <w:t xml:space="preserve">εγγυημένες υψηλές ταχύτητες και ανταγωνιστικές τιμές </w:t>
      </w:r>
      <w:r w:rsidR="002B4DB0">
        <w:rPr>
          <w:szCs w:val="22"/>
        </w:rPr>
        <w:t xml:space="preserve">και </w:t>
      </w:r>
      <w:r w:rsidR="00162126">
        <w:rPr>
          <w:szCs w:val="22"/>
        </w:rPr>
        <w:t xml:space="preserve">είναι διαθέσιμη </w:t>
      </w:r>
      <w:r w:rsidR="00B2698B">
        <w:rPr>
          <w:szCs w:val="22"/>
        </w:rPr>
        <w:t>σε 600.000 νοικοκυριά και επιχειρήσεις ενώ επεκτείνεται και σε νέες περιοχές</w:t>
      </w:r>
      <w:r w:rsidR="006C4E55" w:rsidRPr="003B4EB4">
        <w:rPr>
          <w:szCs w:val="22"/>
        </w:rPr>
        <w:t xml:space="preserve"> </w:t>
      </w:r>
      <w:r w:rsidR="006C4E55">
        <w:rPr>
          <w:szCs w:val="22"/>
        </w:rPr>
        <w:t>της χώρας</w:t>
      </w:r>
      <w:r w:rsidR="00117A3B">
        <w:rPr>
          <w:szCs w:val="22"/>
        </w:rPr>
        <w:t>.</w:t>
      </w:r>
    </w:p>
    <w:p w14:paraId="09A23037" w14:textId="77777777" w:rsidR="00DE03D1" w:rsidRPr="005B51C4" w:rsidRDefault="00DE03D1" w:rsidP="002D2BD8">
      <w:pPr>
        <w:pStyle w:val="DehPressRelease"/>
        <w:jc w:val="both"/>
        <w:rPr>
          <w:b/>
          <w:bCs/>
          <w:szCs w:val="22"/>
        </w:rPr>
      </w:pPr>
    </w:p>
    <w:p w14:paraId="2E207610" w14:textId="77777777" w:rsidR="00DE03D1" w:rsidRPr="005B51C4" w:rsidRDefault="00DE03D1" w:rsidP="002D2BD8">
      <w:pPr>
        <w:pStyle w:val="DehPressRelease"/>
        <w:jc w:val="both"/>
        <w:rPr>
          <w:b/>
          <w:szCs w:val="22"/>
        </w:rPr>
      </w:pPr>
      <w:r w:rsidRPr="005B51C4">
        <w:rPr>
          <w:b/>
          <w:szCs w:val="22"/>
        </w:rPr>
        <w:t>Ηλεκτροκίνηση</w:t>
      </w:r>
    </w:p>
    <w:p w14:paraId="2E5E139D" w14:textId="613EFFAA" w:rsidR="00DE03D1" w:rsidRDefault="00DE03D1" w:rsidP="002D2BD8">
      <w:pPr>
        <w:pStyle w:val="DehPressRelease"/>
        <w:jc w:val="both"/>
        <w:rPr>
          <w:szCs w:val="22"/>
        </w:rPr>
      </w:pPr>
      <w:r w:rsidRPr="006356FE">
        <w:rPr>
          <w:szCs w:val="22"/>
        </w:rPr>
        <w:t xml:space="preserve">Στον τομέα της ηλεκτροκίνησης, η ΔΕΗ συνεχίζει να </w:t>
      </w:r>
      <w:r w:rsidR="008C734B">
        <w:rPr>
          <w:szCs w:val="22"/>
        </w:rPr>
        <w:t>διατηρεί</w:t>
      </w:r>
      <w:r w:rsidR="009E59A0">
        <w:rPr>
          <w:szCs w:val="22"/>
        </w:rPr>
        <w:t xml:space="preserve"> την</w:t>
      </w:r>
      <w:r w:rsidR="008C734B" w:rsidRPr="006356FE">
        <w:rPr>
          <w:szCs w:val="22"/>
        </w:rPr>
        <w:t xml:space="preserve"> </w:t>
      </w:r>
      <w:r w:rsidRPr="006356FE">
        <w:rPr>
          <w:szCs w:val="22"/>
        </w:rPr>
        <w:t xml:space="preserve">ηγετική </w:t>
      </w:r>
      <w:r w:rsidR="009E59A0">
        <w:rPr>
          <w:szCs w:val="22"/>
        </w:rPr>
        <w:t xml:space="preserve">της </w:t>
      </w:r>
      <w:r w:rsidRPr="006356FE">
        <w:rPr>
          <w:szCs w:val="22"/>
        </w:rPr>
        <w:t xml:space="preserve">θέση στην Ελληνική αγορά διαθέτοντας το μεγαλύτερο </w:t>
      </w:r>
      <w:r w:rsidR="009E59A0">
        <w:rPr>
          <w:szCs w:val="22"/>
        </w:rPr>
        <w:t xml:space="preserve">δίκτυο </w:t>
      </w:r>
      <w:r w:rsidRPr="006356FE">
        <w:rPr>
          <w:szCs w:val="22"/>
        </w:rPr>
        <w:t xml:space="preserve">δημόσιων σημείων φόρτισης στην </w:t>
      </w:r>
      <w:r w:rsidR="0039297C" w:rsidRPr="006356FE">
        <w:rPr>
          <w:szCs w:val="22"/>
        </w:rPr>
        <w:t>χώρα</w:t>
      </w:r>
      <w:r w:rsidRPr="006356FE">
        <w:rPr>
          <w:szCs w:val="22"/>
        </w:rPr>
        <w:t xml:space="preserve">. Παράλληλα, </w:t>
      </w:r>
      <w:r w:rsidR="009E59A0">
        <w:rPr>
          <w:szCs w:val="22"/>
        </w:rPr>
        <w:t xml:space="preserve">διευρύνει </w:t>
      </w:r>
      <w:r w:rsidRPr="006356FE">
        <w:rPr>
          <w:szCs w:val="22"/>
        </w:rPr>
        <w:t>τη</w:t>
      </w:r>
      <w:r w:rsidR="008A534D">
        <w:rPr>
          <w:szCs w:val="22"/>
        </w:rPr>
        <w:t xml:space="preserve"> δραστηριότητά</w:t>
      </w:r>
      <w:r w:rsidRPr="006356FE">
        <w:rPr>
          <w:szCs w:val="22"/>
        </w:rPr>
        <w:t xml:space="preserve"> της και στη Ρουμανία</w:t>
      </w:r>
      <w:r w:rsidR="00F62A9D">
        <w:rPr>
          <w:szCs w:val="22"/>
        </w:rPr>
        <w:t xml:space="preserve"> </w:t>
      </w:r>
      <w:r w:rsidR="00F62A9D" w:rsidRPr="00F62A9D">
        <w:rPr>
          <w:szCs w:val="22"/>
        </w:rPr>
        <w:t>ενισχύοντας περαιτέρω τη γεωγραφική της παρουσία</w:t>
      </w:r>
      <w:r w:rsidR="00F62A9D">
        <w:rPr>
          <w:szCs w:val="22"/>
        </w:rPr>
        <w:t xml:space="preserve">. Ο συνολικός αριθμός σημείων φόρτισης </w:t>
      </w:r>
      <w:r w:rsidR="001A6AD0">
        <w:rPr>
          <w:szCs w:val="22"/>
        </w:rPr>
        <w:t xml:space="preserve">και στις δύο χώρες διαμορφώθηκε σε </w:t>
      </w:r>
      <w:r w:rsidRPr="006356FE">
        <w:rPr>
          <w:szCs w:val="22"/>
        </w:rPr>
        <w:t>3.</w:t>
      </w:r>
      <w:r w:rsidR="00635145" w:rsidRPr="006356FE">
        <w:rPr>
          <w:szCs w:val="22"/>
        </w:rPr>
        <w:t>509</w:t>
      </w:r>
      <w:r w:rsidRPr="006356FE">
        <w:rPr>
          <w:szCs w:val="22"/>
        </w:rPr>
        <w:t xml:space="preserve"> στο τέλος του α’ </w:t>
      </w:r>
      <w:r w:rsidR="00635145" w:rsidRPr="006356FE">
        <w:rPr>
          <w:szCs w:val="22"/>
        </w:rPr>
        <w:t>εξαμήνου</w:t>
      </w:r>
      <w:r w:rsidRPr="006356FE">
        <w:rPr>
          <w:szCs w:val="22"/>
        </w:rPr>
        <w:t xml:space="preserve"> του 2025</w:t>
      </w:r>
      <w:r w:rsidRPr="005B51C4">
        <w:rPr>
          <w:szCs w:val="22"/>
        </w:rPr>
        <w:t xml:space="preserve">, </w:t>
      </w:r>
      <w:r w:rsidR="001A6AD0" w:rsidRPr="004C6823">
        <w:rPr>
          <w:szCs w:val="22"/>
        </w:rPr>
        <w:t xml:space="preserve">σημειώνοντας </w:t>
      </w:r>
      <w:r w:rsidRPr="004C6823">
        <w:rPr>
          <w:szCs w:val="22"/>
        </w:rPr>
        <w:t xml:space="preserve">αύξηση κατά </w:t>
      </w:r>
      <w:r w:rsidR="0065522F" w:rsidRPr="004C6823">
        <w:rPr>
          <w:szCs w:val="22"/>
        </w:rPr>
        <w:t>3</w:t>
      </w:r>
      <w:r w:rsidR="004C6823" w:rsidRPr="004C6823">
        <w:rPr>
          <w:szCs w:val="22"/>
        </w:rPr>
        <w:t>0</w:t>
      </w:r>
      <w:r w:rsidRPr="004C6823">
        <w:rPr>
          <w:szCs w:val="22"/>
        </w:rPr>
        <w:t>%</w:t>
      </w:r>
      <w:r w:rsidR="0039297C" w:rsidRPr="004C6823">
        <w:rPr>
          <w:szCs w:val="22"/>
        </w:rPr>
        <w:t xml:space="preserve"> σε σχέση με την αντίστοιχη </w:t>
      </w:r>
      <w:r w:rsidR="00EA32CE" w:rsidRPr="004C6823">
        <w:rPr>
          <w:szCs w:val="22"/>
        </w:rPr>
        <w:t>περίοδο</w:t>
      </w:r>
      <w:r w:rsidR="00CF5B73" w:rsidRPr="004C6823">
        <w:rPr>
          <w:szCs w:val="22"/>
        </w:rPr>
        <w:t xml:space="preserve"> του προηγούμενου έτους</w:t>
      </w:r>
      <w:r w:rsidRPr="004C6823">
        <w:rPr>
          <w:szCs w:val="22"/>
        </w:rPr>
        <w:t>.</w:t>
      </w:r>
    </w:p>
    <w:p w14:paraId="34D88D59" w14:textId="77777777" w:rsidR="00356783" w:rsidRDefault="00356783">
      <w:pPr>
        <w:rPr>
          <w:rFonts w:ascii="Ping LCG Regular" w:hAnsi="Ping LCG Regular"/>
          <w:b/>
          <w:bCs/>
          <w:sz w:val="20"/>
          <w:szCs w:val="20"/>
          <w:u w:val="single"/>
          <w:lang w:val="el-GR"/>
        </w:rPr>
      </w:pPr>
      <w:r>
        <w:rPr>
          <w:rFonts w:ascii="Ping LCG Regular" w:hAnsi="Ping LCG Regular"/>
          <w:b/>
          <w:bCs/>
          <w:sz w:val="20"/>
          <w:szCs w:val="20"/>
          <w:u w:val="single"/>
          <w:lang w:val="el-GR"/>
        </w:rPr>
        <w:br w:type="page"/>
      </w:r>
    </w:p>
    <w:p w14:paraId="4FE14CB1" w14:textId="455A50BF" w:rsidR="00DE03D1" w:rsidRPr="00F34D21" w:rsidRDefault="00DE03D1" w:rsidP="00DE03D1">
      <w:pPr>
        <w:rPr>
          <w:rFonts w:ascii="Ping LCG Regular" w:hAnsi="Ping LCG Regular"/>
          <w:b/>
          <w:bCs/>
          <w:sz w:val="20"/>
          <w:szCs w:val="20"/>
          <w:u w:val="single"/>
          <w:lang w:val="el-GR"/>
        </w:rPr>
      </w:pPr>
      <w:r w:rsidRPr="00F34D21">
        <w:rPr>
          <w:rFonts w:ascii="Ping LCG Regular" w:hAnsi="Ping LCG Regular"/>
          <w:b/>
          <w:bCs/>
          <w:sz w:val="20"/>
          <w:szCs w:val="20"/>
          <w:u w:val="single"/>
          <w:lang w:val="el-GR"/>
        </w:rPr>
        <w:lastRenderedPageBreak/>
        <w:t>Πληροφορίες:</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8"/>
        <w:gridCol w:w="4318"/>
      </w:tblGrid>
      <w:tr w:rsidR="00DE03D1" w:rsidRPr="00F34D21" w14:paraId="34AD45E6" w14:textId="77777777">
        <w:tc>
          <w:tcPr>
            <w:tcW w:w="4318" w:type="dxa"/>
          </w:tcPr>
          <w:p w14:paraId="1147F998" w14:textId="17EFD5AF" w:rsidR="00DE03D1" w:rsidRPr="00F34D21" w:rsidRDefault="006A6277">
            <w:pPr>
              <w:pStyle w:val="DehPressRelease"/>
              <w:spacing w:after="0" w:line="240" w:lineRule="auto"/>
              <w:rPr>
                <w:sz w:val="20"/>
                <w:szCs w:val="20"/>
              </w:rPr>
            </w:pPr>
            <w:r>
              <w:rPr>
                <w:sz w:val="20"/>
                <w:szCs w:val="20"/>
              </w:rPr>
              <w:t xml:space="preserve">Γενική </w:t>
            </w:r>
            <w:r w:rsidR="00DE03D1" w:rsidRPr="00F34D21">
              <w:rPr>
                <w:sz w:val="20"/>
                <w:szCs w:val="20"/>
              </w:rPr>
              <w:t>Διεύθυνση Επενδυτικών Σχέσεων</w:t>
            </w:r>
          </w:p>
          <w:p w14:paraId="113F0726" w14:textId="77777777" w:rsidR="00DE03D1" w:rsidRPr="00F34D21" w:rsidRDefault="00DE03D1">
            <w:pPr>
              <w:tabs>
                <w:tab w:val="left" w:pos="284"/>
              </w:tabs>
              <w:rPr>
                <w:rFonts w:ascii="Ping LCG Regular" w:hAnsi="Ping LCG Regular"/>
                <w:sz w:val="20"/>
                <w:szCs w:val="20"/>
                <w:lang w:val="el-GR"/>
              </w:rPr>
            </w:pPr>
            <w:r w:rsidRPr="00F34D21">
              <w:rPr>
                <w:rFonts w:ascii="Ping LCG Regular" w:hAnsi="Ping LCG Regular"/>
                <w:sz w:val="20"/>
                <w:szCs w:val="20"/>
                <w:lang w:val="el-GR"/>
              </w:rPr>
              <w:t>Χαλκοκονδύλη 30, 104 32 Αθήνα</w:t>
            </w:r>
          </w:p>
          <w:p w14:paraId="3A0208DC" w14:textId="77777777" w:rsidR="00DE03D1" w:rsidRPr="00F34D21" w:rsidRDefault="00DE03D1">
            <w:pPr>
              <w:tabs>
                <w:tab w:val="left" w:pos="284"/>
              </w:tabs>
              <w:rPr>
                <w:rFonts w:ascii="Ping LCG Regular" w:hAnsi="Ping LCG Regular"/>
                <w:sz w:val="20"/>
                <w:szCs w:val="20"/>
                <w:lang w:val="el-GR"/>
              </w:rPr>
            </w:pPr>
            <w:r w:rsidRPr="00F34D21">
              <w:rPr>
                <w:rFonts w:ascii="Ping LCG Regular" w:hAnsi="Ping LCG Regular"/>
                <w:sz w:val="20"/>
                <w:szCs w:val="20"/>
                <w:lang w:val="el-GR"/>
              </w:rPr>
              <w:t xml:space="preserve">Τ: </w:t>
            </w:r>
            <w:r w:rsidRPr="00F34D21">
              <w:rPr>
                <w:rFonts w:ascii="Ping LCG Regular" w:hAnsi="Ping LCG Regular"/>
                <w:sz w:val="20"/>
                <w:szCs w:val="20"/>
                <w:lang w:val="el-GR"/>
              </w:rPr>
              <w:tab/>
              <w:t>+30 210 529 2153</w:t>
            </w:r>
          </w:p>
          <w:p w14:paraId="7B1AA168" w14:textId="77777777" w:rsidR="00DE03D1" w:rsidRPr="00F34D21" w:rsidRDefault="00DE03D1">
            <w:pPr>
              <w:tabs>
                <w:tab w:val="left" w:pos="284"/>
              </w:tabs>
              <w:rPr>
                <w:rFonts w:ascii="Ping LCG Regular" w:hAnsi="Ping LCG Regular"/>
                <w:sz w:val="20"/>
                <w:szCs w:val="20"/>
              </w:rPr>
            </w:pPr>
            <w:r w:rsidRPr="00F34D21">
              <w:rPr>
                <w:rFonts w:ascii="Ping LCG Regular" w:hAnsi="Ping LCG Regular"/>
                <w:sz w:val="20"/>
                <w:szCs w:val="20"/>
                <w:lang w:val="el-GR"/>
              </w:rPr>
              <w:tab/>
            </w:r>
            <w:r w:rsidRPr="00F34D21">
              <w:rPr>
                <w:rFonts w:ascii="Ping LCG Regular" w:hAnsi="Ping LCG Regular"/>
                <w:sz w:val="20"/>
                <w:szCs w:val="20"/>
              </w:rPr>
              <w:t>+30 210 529 3665</w:t>
            </w:r>
          </w:p>
          <w:p w14:paraId="47AF098B" w14:textId="77777777" w:rsidR="00DE03D1" w:rsidRPr="00F34D21" w:rsidRDefault="00DE03D1">
            <w:pPr>
              <w:tabs>
                <w:tab w:val="left" w:pos="284"/>
              </w:tabs>
              <w:rPr>
                <w:rFonts w:ascii="Ping LCG Regular" w:hAnsi="Ping LCG Regular"/>
                <w:sz w:val="20"/>
                <w:szCs w:val="20"/>
              </w:rPr>
            </w:pPr>
            <w:r w:rsidRPr="00F34D21">
              <w:rPr>
                <w:rFonts w:ascii="Ping LCG Regular" w:hAnsi="Ping LCG Regular"/>
                <w:sz w:val="20"/>
                <w:szCs w:val="20"/>
              </w:rPr>
              <w:tab/>
              <w:t>+30 210 529 3207</w:t>
            </w:r>
          </w:p>
          <w:p w14:paraId="210DEF97" w14:textId="77777777" w:rsidR="00DE03D1" w:rsidRPr="00F34D21" w:rsidRDefault="00DE03D1">
            <w:pPr>
              <w:pStyle w:val="DehPressRelease"/>
              <w:spacing w:after="0" w:line="240" w:lineRule="auto"/>
              <w:rPr>
                <w:rStyle w:val="Hyperlink"/>
                <w:sz w:val="20"/>
                <w:szCs w:val="20"/>
              </w:rPr>
            </w:pPr>
            <w:hyperlink r:id="rId12" w:history="1">
              <w:r w:rsidRPr="00F34D21">
                <w:rPr>
                  <w:rStyle w:val="Hyperlink"/>
                  <w:sz w:val="20"/>
                  <w:szCs w:val="20"/>
                </w:rPr>
                <w:t>ir@ppcgroup.com</w:t>
              </w:r>
            </w:hyperlink>
          </w:p>
          <w:p w14:paraId="2EAD4262" w14:textId="77777777" w:rsidR="00DE03D1" w:rsidRPr="00F34D21" w:rsidRDefault="00DE03D1">
            <w:pPr>
              <w:pStyle w:val="DehPressRelease"/>
              <w:spacing w:after="0" w:line="240" w:lineRule="auto"/>
              <w:rPr>
                <w:sz w:val="20"/>
                <w:szCs w:val="20"/>
                <w:lang w:val="en-US"/>
              </w:rPr>
            </w:pPr>
          </w:p>
        </w:tc>
        <w:tc>
          <w:tcPr>
            <w:tcW w:w="4318" w:type="dxa"/>
          </w:tcPr>
          <w:p w14:paraId="47D86ADD" w14:textId="77777777" w:rsidR="00DE03D1" w:rsidRPr="00F34D21" w:rsidRDefault="00DE03D1">
            <w:pPr>
              <w:tabs>
                <w:tab w:val="left" w:pos="284"/>
              </w:tabs>
              <w:rPr>
                <w:rFonts w:ascii="Ping LCG Regular" w:hAnsi="Ping LCG Regular"/>
                <w:sz w:val="20"/>
                <w:szCs w:val="20"/>
              </w:rPr>
            </w:pPr>
            <w:r w:rsidRPr="00F34D21">
              <w:rPr>
                <w:rFonts w:ascii="Ping LCG Regular" w:hAnsi="Ping LCG Regular"/>
                <w:sz w:val="20"/>
                <w:szCs w:val="20"/>
              </w:rPr>
              <w:t xml:space="preserve">Media Relations </w:t>
            </w:r>
            <w:r w:rsidRPr="00F34D21">
              <w:rPr>
                <w:rFonts w:ascii="Ping LCG Regular" w:hAnsi="Ping LCG Regular"/>
                <w:sz w:val="20"/>
                <w:szCs w:val="20"/>
                <w:lang w:val="el-GR"/>
              </w:rPr>
              <w:t>Ομίλου</w:t>
            </w:r>
            <w:r w:rsidRPr="00F34D21">
              <w:rPr>
                <w:rFonts w:ascii="Ping LCG Regular" w:hAnsi="Ping LCG Regular"/>
                <w:sz w:val="20"/>
                <w:szCs w:val="20"/>
              </w:rPr>
              <w:t xml:space="preserve"> </w:t>
            </w:r>
            <w:r w:rsidRPr="00F34D21">
              <w:rPr>
                <w:rFonts w:ascii="Ping LCG Regular" w:hAnsi="Ping LCG Regular"/>
                <w:sz w:val="20"/>
                <w:szCs w:val="20"/>
                <w:lang w:val="el-GR"/>
              </w:rPr>
              <w:t>ΔΕΗ</w:t>
            </w:r>
          </w:p>
          <w:p w14:paraId="54888224" w14:textId="77777777" w:rsidR="00DE03D1" w:rsidRPr="00F34D21" w:rsidRDefault="00DE03D1">
            <w:pPr>
              <w:tabs>
                <w:tab w:val="left" w:pos="284"/>
              </w:tabs>
              <w:rPr>
                <w:rFonts w:ascii="Ping LCG Regular" w:hAnsi="Ping LCG Regular"/>
                <w:sz w:val="20"/>
                <w:szCs w:val="20"/>
              </w:rPr>
            </w:pPr>
            <w:r w:rsidRPr="00F34D21">
              <w:rPr>
                <w:rFonts w:ascii="Ping LCG Regular" w:hAnsi="Ping LCG Regular"/>
                <w:sz w:val="20"/>
                <w:szCs w:val="20"/>
              </w:rPr>
              <w:t>Χα</w:t>
            </w:r>
            <w:proofErr w:type="spellStart"/>
            <w:r w:rsidRPr="00F34D21">
              <w:rPr>
                <w:rFonts w:ascii="Ping LCG Regular" w:hAnsi="Ping LCG Regular"/>
                <w:sz w:val="20"/>
                <w:szCs w:val="20"/>
              </w:rPr>
              <w:t>λκοκονδύλη</w:t>
            </w:r>
            <w:proofErr w:type="spellEnd"/>
            <w:r w:rsidRPr="00F34D21">
              <w:rPr>
                <w:rFonts w:ascii="Ping LCG Regular" w:hAnsi="Ping LCG Regular"/>
                <w:sz w:val="20"/>
                <w:szCs w:val="20"/>
              </w:rPr>
              <w:t xml:space="preserve"> 32, 104 32 </w:t>
            </w:r>
            <w:proofErr w:type="spellStart"/>
            <w:r w:rsidRPr="00F34D21">
              <w:rPr>
                <w:rFonts w:ascii="Ping LCG Regular" w:hAnsi="Ping LCG Regular"/>
                <w:sz w:val="20"/>
                <w:szCs w:val="20"/>
              </w:rPr>
              <w:t>Αθήν</w:t>
            </w:r>
            <w:proofErr w:type="spellEnd"/>
            <w:r w:rsidRPr="00F34D21">
              <w:rPr>
                <w:rFonts w:ascii="Ping LCG Regular" w:hAnsi="Ping LCG Regular"/>
                <w:sz w:val="20"/>
                <w:szCs w:val="20"/>
              </w:rPr>
              <w:t>α</w:t>
            </w:r>
          </w:p>
          <w:p w14:paraId="13F58176" w14:textId="4900367C" w:rsidR="00DE03D1" w:rsidRPr="00F34D21" w:rsidRDefault="00DE03D1">
            <w:pPr>
              <w:tabs>
                <w:tab w:val="left" w:pos="284"/>
              </w:tabs>
              <w:rPr>
                <w:rFonts w:ascii="Ping LCG Regular" w:hAnsi="Ping LCG Regular"/>
                <w:sz w:val="20"/>
                <w:szCs w:val="20"/>
              </w:rPr>
            </w:pPr>
            <w:r w:rsidRPr="00F34D21">
              <w:rPr>
                <w:rFonts w:ascii="Ping LCG Regular" w:hAnsi="Ping LCG Regular"/>
                <w:sz w:val="20"/>
                <w:szCs w:val="20"/>
              </w:rPr>
              <w:t>Τ:</w:t>
            </w:r>
            <w:r w:rsidRPr="00F34D21">
              <w:rPr>
                <w:rFonts w:ascii="Ping LCG Regular" w:hAnsi="Ping LCG Regular"/>
                <w:sz w:val="20"/>
                <w:szCs w:val="20"/>
              </w:rPr>
              <w:tab/>
              <w:t xml:space="preserve">+30 210 523 1807 </w:t>
            </w:r>
          </w:p>
          <w:p w14:paraId="4C74524D" w14:textId="28370BD7" w:rsidR="00DE03D1" w:rsidRPr="00F34D21" w:rsidRDefault="00DE03D1">
            <w:pPr>
              <w:tabs>
                <w:tab w:val="left" w:pos="284"/>
              </w:tabs>
              <w:rPr>
                <w:rFonts w:ascii="Ping LCG Regular" w:hAnsi="Ping LCG Regular"/>
                <w:sz w:val="20"/>
                <w:szCs w:val="20"/>
              </w:rPr>
            </w:pPr>
            <w:r w:rsidRPr="00F34D21">
              <w:rPr>
                <w:rFonts w:ascii="Ping LCG Regular" w:hAnsi="Ping LCG Regular"/>
                <w:sz w:val="20"/>
                <w:szCs w:val="20"/>
              </w:rPr>
              <w:tab/>
              <w:t>+30 210 529 3404</w:t>
            </w:r>
          </w:p>
          <w:p w14:paraId="258623EC" w14:textId="77777777" w:rsidR="00DE03D1" w:rsidRPr="00F34D21" w:rsidRDefault="00DE03D1">
            <w:pPr>
              <w:tabs>
                <w:tab w:val="left" w:pos="284"/>
              </w:tabs>
              <w:rPr>
                <w:rFonts w:ascii="Ping LCG Regular" w:hAnsi="Ping LCG Regular"/>
                <w:sz w:val="20"/>
                <w:szCs w:val="20"/>
              </w:rPr>
            </w:pPr>
            <w:r w:rsidRPr="00F34D21">
              <w:rPr>
                <w:rFonts w:ascii="Ping LCG Regular" w:hAnsi="Ping LCG Regular"/>
                <w:sz w:val="20"/>
                <w:szCs w:val="20"/>
              </w:rPr>
              <w:t xml:space="preserve"> </w:t>
            </w:r>
            <w:r w:rsidRPr="00F34D21">
              <w:rPr>
                <w:rFonts w:ascii="Ping LCG Regular" w:hAnsi="Ping LCG Regular"/>
                <w:sz w:val="20"/>
                <w:szCs w:val="20"/>
              </w:rPr>
              <w:tab/>
              <w:t>+30 697 270 7713</w:t>
            </w:r>
          </w:p>
          <w:p w14:paraId="261CE74F" w14:textId="77777777" w:rsidR="00DE03D1" w:rsidRPr="00F34D21" w:rsidRDefault="00DE03D1">
            <w:pPr>
              <w:tabs>
                <w:tab w:val="left" w:pos="284"/>
              </w:tabs>
              <w:rPr>
                <w:rFonts w:ascii="Ping LCG Regular" w:hAnsi="Ping LCG Regular"/>
                <w:sz w:val="20"/>
                <w:szCs w:val="20"/>
              </w:rPr>
            </w:pPr>
            <w:hyperlink r:id="rId13" w:history="1">
              <w:r w:rsidRPr="00F34D21">
                <w:rPr>
                  <w:rStyle w:val="Hyperlink"/>
                  <w:rFonts w:ascii="Ping LCG Regular" w:hAnsi="Ping LCG Regular"/>
                  <w:sz w:val="20"/>
                  <w:szCs w:val="20"/>
                </w:rPr>
                <w:t>information@ppcgroup.com</w:t>
              </w:r>
            </w:hyperlink>
            <w:r w:rsidRPr="00F34D21">
              <w:rPr>
                <w:rStyle w:val="Hyperlink"/>
                <w:rFonts w:ascii="Ping LCG Regular" w:hAnsi="Ping LCG Regular"/>
                <w:sz w:val="20"/>
                <w:szCs w:val="20"/>
              </w:rPr>
              <w:t xml:space="preserve"> </w:t>
            </w:r>
          </w:p>
          <w:p w14:paraId="3DE27B9F" w14:textId="00B2729F" w:rsidR="00DE03D1" w:rsidRPr="00F34D21" w:rsidRDefault="000C0625">
            <w:pPr>
              <w:tabs>
                <w:tab w:val="left" w:pos="284"/>
              </w:tabs>
              <w:rPr>
                <w:rFonts w:ascii="Ping LCG Regular" w:hAnsi="Ping LCG Regular"/>
                <w:sz w:val="20"/>
                <w:szCs w:val="20"/>
              </w:rPr>
            </w:pPr>
            <w:r>
              <w:rPr>
                <w:rFonts w:ascii="Ping LCG Regular" w:hAnsi="Ping LCG Regular"/>
                <w:sz w:val="20"/>
                <w:szCs w:val="20"/>
              </w:rPr>
              <w:t xml:space="preserve">  </w:t>
            </w:r>
            <w:r w:rsidR="00DE03D1" w:rsidRPr="00F34D21">
              <w:rPr>
                <w:rFonts w:ascii="Ping LCG Regular" w:hAnsi="Ping LCG Regular"/>
                <w:sz w:val="20"/>
                <w:szCs w:val="20"/>
              </w:rPr>
              <w:t xml:space="preserve"> </w:t>
            </w:r>
          </w:p>
        </w:tc>
      </w:tr>
    </w:tbl>
    <w:p w14:paraId="765F58CD" w14:textId="77777777" w:rsidR="00DE03D1" w:rsidRPr="00F34D21" w:rsidRDefault="00DE03D1" w:rsidP="00DE03D1">
      <w:pPr>
        <w:pStyle w:val="DehPressRelease"/>
        <w:spacing w:after="0" w:line="240" w:lineRule="auto"/>
        <w:jc w:val="both"/>
        <w:rPr>
          <w:b/>
          <w:bCs/>
          <w:sz w:val="20"/>
          <w:szCs w:val="20"/>
          <w:lang w:val="en-US"/>
        </w:rPr>
      </w:pPr>
    </w:p>
    <w:p w14:paraId="42DE9EEB" w14:textId="77777777" w:rsidR="00DE03D1" w:rsidRPr="00F34D21" w:rsidRDefault="00DE03D1" w:rsidP="00DE03D1">
      <w:pPr>
        <w:jc w:val="both"/>
        <w:rPr>
          <w:rFonts w:ascii="Ping LCG Regular" w:hAnsi="Ping LCG Regular"/>
          <w:sz w:val="20"/>
          <w:szCs w:val="20"/>
          <w:lang w:val="el-GR"/>
        </w:rPr>
      </w:pPr>
      <w:r w:rsidRPr="00F34D21">
        <w:rPr>
          <w:rFonts w:ascii="Ping LCG Regular" w:hAnsi="Ping LCG Regular"/>
          <w:sz w:val="20"/>
          <w:szCs w:val="20"/>
          <w:lang w:val="el-GR"/>
        </w:rPr>
        <w:t>Το Δελτίο Τύπου είναι διαθέσιμο στον διαδικτυακό τόπο της ΔΕΗ Α.Ε (</w:t>
      </w:r>
      <w:proofErr w:type="spellStart"/>
      <w:r w:rsidRPr="00F34D21">
        <w:rPr>
          <w:rFonts w:ascii="Ping LCG Regular" w:hAnsi="Ping LCG Regular"/>
          <w:sz w:val="20"/>
          <w:szCs w:val="20"/>
        </w:rPr>
        <w:t>ppcgroup</w:t>
      </w:r>
      <w:proofErr w:type="spellEnd"/>
      <w:r w:rsidRPr="00F34D21">
        <w:rPr>
          <w:rFonts w:ascii="Ping LCG Regular" w:hAnsi="Ping LCG Regular"/>
          <w:sz w:val="20"/>
          <w:szCs w:val="20"/>
          <w:lang w:val="el-GR"/>
        </w:rPr>
        <w:t>.</w:t>
      </w:r>
      <w:r w:rsidRPr="00F34D21">
        <w:rPr>
          <w:rFonts w:ascii="Ping LCG Regular" w:hAnsi="Ping LCG Regular"/>
          <w:sz w:val="20"/>
          <w:szCs w:val="20"/>
        </w:rPr>
        <w:t>com</w:t>
      </w:r>
      <w:r w:rsidRPr="00F34D21">
        <w:rPr>
          <w:rFonts w:ascii="Ping LCG Regular" w:hAnsi="Ping LCG Regular"/>
          <w:sz w:val="20"/>
          <w:szCs w:val="20"/>
          <w:lang w:val="el-GR"/>
        </w:rPr>
        <w:t>) στην ενότητα “Επενδυτικές Σχέσεις”.</w:t>
      </w:r>
    </w:p>
    <w:p w14:paraId="71836D51" w14:textId="77777777" w:rsidR="00DE03D1" w:rsidRPr="00B460E7" w:rsidRDefault="00DE03D1" w:rsidP="00DE03D1">
      <w:pPr>
        <w:jc w:val="both"/>
        <w:rPr>
          <w:rFonts w:ascii="Ping LCG Regular" w:hAnsi="Ping LCG Regular"/>
          <w:sz w:val="20"/>
          <w:szCs w:val="20"/>
          <w:highlight w:val="yellow"/>
          <w:lang w:val="el-GR"/>
        </w:rPr>
      </w:pPr>
    </w:p>
    <w:p w14:paraId="34FD22DC" w14:textId="77777777" w:rsidR="00DE03D1" w:rsidRPr="008F0BDF" w:rsidRDefault="00DE03D1" w:rsidP="00DE03D1">
      <w:pPr>
        <w:spacing w:after="200" w:line="276" w:lineRule="auto"/>
        <w:jc w:val="both"/>
        <w:rPr>
          <w:rFonts w:ascii="Ping LCG Regular" w:hAnsi="Ping LCG Regular"/>
          <w:b/>
          <w:bCs/>
          <w:sz w:val="20"/>
          <w:szCs w:val="20"/>
          <w:lang w:val="el-GR"/>
        </w:rPr>
      </w:pPr>
      <w:r w:rsidRPr="008F0BDF">
        <w:rPr>
          <w:rFonts w:ascii="Ping LCG Regular" w:hAnsi="Ping LCG Regular"/>
          <w:b/>
          <w:bCs/>
          <w:sz w:val="20"/>
          <w:szCs w:val="20"/>
          <w:lang w:val="el-GR"/>
        </w:rPr>
        <w:t>Σχετικά με τη Δημόσια Επιχείρηση Ηλεκτρισμού Α.Ε.</w:t>
      </w:r>
    </w:p>
    <w:p w14:paraId="0052141E" w14:textId="77777777" w:rsidR="00A62530" w:rsidRPr="00617E29" w:rsidRDefault="00A62530" w:rsidP="00DE03D1">
      <w:pPr>
        <w:spacing w:after="120"/>
        <w:jc w:val="both"/>
        <w:rPr>
          <w:rFonts w:ascii="Ping LCG Regular" w:hAnsi="Ping LCG Regular"/>
          <w:sz w:val="20"/>
          <w:szCs w:val="20"/>
          <w:lang w:val="el-GR"/>
        </w:rPr>
      </w:pPr>
      <w:r w:rsidRPr="00617E29">
        <w:rPr>
          <w:rFonts w:ascii="Ping LCG Regular" w:hAnsi="Ping LCG Regular"/>
          <w:sz w:val="20"/>
          <w:szCs w:val="20"/>
          <w:lang w:val="el-GR"/>
        </w:rPr>
        <w:t>Η ΔΕΗ είναι ο κορυφαίος Όμιλος ολοκληρωμένων υπηρεσιών ενέργειας στη Νοτιοανατολική Ευρώπη, με δραστηριότητες στην παραγωγή, διανομή και πώληση προηγμένων προϊόντων και υπηρεσιών ενέργειας στην Ελλάδα, τη Ρουμανία και τη Βόρεια Μακεδονία, ενώ επεκτείνει το αποτύπωμά της στις Ανανεώσιμες Πηγές Ενέργειας (ΑΠΕ) στην Ιταλία και τη Βουλγαρία.</w:t>
      </w:r>
    </w:p>
    <w:p w14:paraId="202226DF" w14:textId="6AC66337" w:rsidR="00DE03D1" w:rsidRPr="00617E29" w:rsidRDefault="00DE03D1" w:rsidP="00DE03D1">
      <w:pPr>
        <w:spacing w:after="120"/>
        <w:jc w:val="both"/>
        <w:rPr>
          <w:rFonts w:ascii="Ping LCG Regular" w:hAnsi="Ping LCG Regular"/>
          <w:sz w:val="20"/>
          <w:szCs w:val="20"/>
          <w:lang w:val="el-GR"/>
        </w:rPr>
      </w:pPr>
      <w:r w:rsidRPr="00617E29">
        <w:rPr>
          <w:rFonts w:ascii="Ping LCG Regular" w:hAnsi="Ping LCG Regular"/>
          <w:sz w:val="20"/>
          <w:szCs w:val="20"/>
          <w:lang w:val="el-GR"/>
        </w:rPr>
        <w:t>Το παραγωγικό δυναμικό της ΔΕΗ ανέρχεται σε 12,</w:t>
      </w:r>
      <w:r w:rsidR="00B75365" w:rsidRPr="00617E29">
        <w:rPr>
          <w:rFonts w:ascii="Ping LCG Regular" w:hAnsi="Ping LCG Regular"/>
          <w:sz w:val="20"/>
          <w:szCs w:val="20"/>
          <w:lang w:val="el-GR"/>
        </w:rPr>
        <w:t>5</w:t>
      </w:r>
      <w:r w:rsidR="001E25C2" w:rsidRPr="001E25C2">
        <w:rPr>
          <w:rFonts w:ascii="Ping LCG Regular" w:hAnsi="Ping LCG Regular"/>
          <w:sz w:val="20"/>
          <w:szCs w:val="20"/>
          <w:lang w:val="el-GR"/>
        </w:rPr>
        <w:t xml:space="preserve"> </w:t>
      </w:r>
      <w:r w:rsidRPr="00617E29">
        <w:rPr>
          <w:rFonts w:ascii="Ping LCG Regular" w:hAnsi="Ping LCG Regular"/>
          <w:sz w:val="20"/>
          <w:szCs w:val="20"/>
          <w:lang w:val="el-GR"/>
        </w:rPr>
        <w:t>GW, με θερμικούς, υδροηλεκτρικούς σταθμούς και εγκαταστάσεις Ανανεώσιμων Πηγών Ενέργειας με συνολική ετήσια παραγωγή ενέργειας περίπου 2</w:t>
      </w:r>
      <w:r w:rsidR="00D74A00" w:rsidRPr="00617E29">
        <w:rPr>
          <w:rFonts w:ascii="Ping LCG Regular" w:hAnsi="Ping LCG Regular"/>
          <w:sz w:val="20"/>
          <w:szCs w:val="20"/>
          <w:lang w:val="el-GR"/>
        </w:rPr>
        <w:t>1</w:t>
      </w:r>
      <w:r w:rsidRPr="00617E29">
        <w:rPr>
          <w:rFonts w:ascii="Ping LCG Regular" w:hAnsi="Ping LCG Regular"/>
          <w:sz w:val="20"/>
          <w:szCs w:val="20"/>
          <w:lang w:val="el-GR"/>
        </w:rPr>
        <w:t>TWh, ενώ η συνολική Ρυθμιζόμενη Περιουσιακή Βάση στα δίκτυα διανομής της στο τέλος του 2024 ανερχόταν σε €4,9 δισ.</w:t>
      </w:r>
    </w:p>
    <w:p w14:paraId="5939FADF" w14:textId="57D92C0A" w:rsidR="00DE03D1" w:rsidRPr="00617E29" w:rsidRDefault="00DE03D1" w:rsidP="00DE03D1">
      <w:pPr>
        <w:spacing w:after="120"/>
        <w:jc w:val="both"/>
        <w:rPr>
          <w:rFonts w:ascii="Ping LCG Regular" w:hAnsi="Ping LCG Regular"/>
          <w:sz w:val="20"/>
          <w:szCs w:val="20"/>
          <w:lang w:val="el-GR"/>
        </w:rPr>
      </w:pPr>
      <w:r w:rsidRPr="00617E29">
        <w:rPr>
          <w:rFonts w:ascii="Ping LCG Regular" w:hAnsi="Ping LCG Regular"/>
          <w:sz w:val="20"/>
          <w:szCs w:val="20"/>
          <w:lang w:val="el-GR"/>
        </w:rPr>
        <w:t>Ο Όμιλος ΔΕΗ αποτελεί τον μεγαλύτερο προμηθευτή ενέργειας στην Ελλάδα και τη Ρουμανία, εξυπηρετώντας 8,</w:t>
      </w:r>
      <w:r w:rsidR="00972F66" w:rsidRPr="00617E29">
        <w:rPr>
          <w:rFonts w:ascii="Ping LCG Regular" w:hAnsi="Ping LCG Regular"/>
          <w:sz w:val="20"/>
          <w:szCs w:val="20"/>
          <w:lang w:val="el-GR"/>
        </w:rPr>
        <w:t>7</w:t>
      </w:r>
      <w:r w:rsidRPr="00617E29">
        <w:rPr>
          <w:rFonts w:ascii="Ping LCG Regular" w:hAnsi="Ping LCG Regular"/>
          <w:sz w:val="20"/>
          <w:szCs w:val="20"/>
          <w:lang w:val="el-GR"/>
        </w:rPr>
        <w:t xml:space="preserve"> εκατ. πελάτες στους οποίους παρέχει περίπου 33TWh ηλεκτρικής ενέργειας και μία ευρεία σειρά ενεργειακών προϊόντων και </w:t>
      </w:r>
      <w:r w:rsidR="004222A5" w:rsidRPr="00617E29">
        <w:rPr>
          <w:rFonts w:ascii="Ping LCG Regular" w:hAnsi="Ping LCG Regular"/>
          <w:sz w:val="20"/>
          <w:szCs w:val="20"/>
          <w:lang w:val="el-GR"/>
        </w:rPr>
        <w:t>Υ</w:t>
      </w:r>
      <w:r w:rsidRPr="00617E29">
        <w:rPr>
          <w:rFonts w:ascii="Ping LCG Regular" w:hAnsi="Ping LCG Regular"/>
          <w:sz w:val="20"/>
          <w:szCs w:val="20"/>
          <w:lang w:val="el-GR"/>
        </w:rPr>
        <w:t>πηρεσιών</w:t>
      </w:r>
      <w:r w:rsidR="004222A5" w:rsidRPr="00617E29">
        <w:rPr>
          <w:rFonts w:ascii="Ping LCG Regular" w:hAnsi="Ping LCG Regular"/>
          <w:sz w:val="20"/>
          <w:szCs w:val="20"/>
          <w:lang w:val="el-GR"/>
        </w:rPr>
        <w:t xml:space="preserve"> Προστιθέμενης Αξίας ενέργειας</w:t>
      </w:r>
      <w:r w:rsidRPr="00617E29">
        <w:rPr>
          <w:rFonts w:ascii="Ping LCG Regular" w:hAnsi="Ping LCG Regular"/>
          <w:sz w:val="20"/>
          <w:szCs w:val="20"/>
          <w:lang w:val="el-GR"/>
        </w:rPr>
        <w:t xml:space="preserve">. </w:t>
      </w:r>
    </w:p>
    <w:p w14:paraId="205A3041" w14:textId="377EEF3D" w:rsidR="00DE03D1" w:rsidRPr="00617E29" w:rsidRDefault="00DE03D1" w:rsidP="00DE03D1">
      <w:pPr>
        <w:spacing w:after="120"/>
        <w:jc w:val="both"/>
        <w:rPr>
          <w:rFonts w:ascii="Ping LCG Regular" w:hAnsi="Ping LCG Regular"/>
          <w:sz w:val="20"/>
          <w:szCs w:val="20"/>
          <w:lang w:val="el-GR"/>
        </w:rPr>
      </w:pPr>
      <w:r w:rsidRPr="00617E29">
        <w:rPr>
          <w:rFonts w:ascii="Ping LCG Regular" w:hAnsi="Ping LCG Regular"/>
          <w:sz w:val="20"/>
          <w:szCs w:val="20"/>
          <w:lang w:val="el-GR"/>
        </w:rPr>
        <w:t>Η ΔΕΗ ιδρύθηκε το 1950 και είναι εισηγμένη στο Χρηματιστήριο Αθηνών από το 2001.</w:t>
      </w:r>
    </w:p>
    <w:p w14:paraId="3EF9EF07" w14:textId="77777777" w:rsidR="00DE03D1" w:rsidRPr="00B460E7" w:rsidRDefault="00DE03D1" w:rsidP="00DE03D1">
      <w:pPr>
        <w:jc w:val="both"/>
        <w:rPr>
          <w:rFonts w:ascii="Ping LCG Regular" w:hAnsi="Ping LCG Regular"/>
          <w:sz w:val="22"/>
          <w:szCs w:val="22"/>
          <w:highlight w:val="yellow"/>
          <w:lang w:val="el-GR"/>
        </w:rPr>
      </w:pPr>
    </w:p>
    <w:p w14:paraId="1553A8FA" w14:textId="77777777" w:rsidR="00DE03D1" w:rsidRPr="00B460E7" w:rsidRDefault="00DE03D1" w:rsidP="00DE03D1">
      <w:pPr>
        <w:jc w:val="both"/>
        <w:rPr>
          <w:rFonts w:ascii="Ping LCG Regular" w:hAnsi="Ping LCG Regular"/>
          <w:sz w:val="22"/>
          <w:szCs w:val="22"/>
          <w:highlight w:val="yellow"/>
          <w:lang w:val="el-GR"/>
        </w:rPr>
      </w:pPr>
    </w:p>
    <w:p w14:paraId="45863299" w14:textId="77777777" w:rsidR="00DE03D1" w:rsidRPr="00B460E7" w:rsidRDefault="00DE03D1" w:rsidP="00DE03D1">
      <w:pPr>
        <w:rPr>
          <w:rFonts w:ascii="Ping LCG Regular" w:hAnsi="Ping LCG Regular"/>
          <w:b/>
          <w:bCs/>
          <w:sz w:val="18"/>
          <w:szCs w:val="18"/>
          <w:highlight w:val="yellow"/>
          <w:lang w:val="el-GR"/>
        </w:rPr>
      </w:pPr>
    </w:p>
    <w:p w14:paraId="484FDEC4" w14:textId="77777777" w:rsidR="00DE03D1" w:rsidRPr="008F0BDF" w:rsidRDefault="00DE03D1" w:rsidP="00DE03D1">
      <w:pPr>
        <w:jc w:val="both"/>
        <w:rPr>
          <w:rFonts w:ascii="Ping LCG Regular" w:hAnsi="Ping LCG Regular"/>
          <w:b/>
          <w:bCs/>
          <w:sz w:val="18"/>
          <w:szCs w:val="18"/>
          <w:lang w:val="el-GR"/>
        </w:rPr>
      </w:pPr>
      <w:r w:rsidRPr="008F0BDF">
        <w:rPr>
          <w:rFonts w:ascii="Ping LCG Regular" w:hAnsi="Ping LCG Regular"/>
          <w:b/>
          <w:bCs/>
          <w:sz w:val="18"/>
          <w:szCs w:val="18"/>
          <w:lang w:val="el-GR"/>
        </w:rPr>
        <w:t>Δήλωση αποποίησης ευθύνης</w:t>
      </w:r>
    </w:p>
    <w:p w14:paraId="3B21CE1C" w14:textId="77777777" w:rsidR="00DE03D1" w:rsidRPr="008F0BDF" w:rsidRDefault="00DE03D1" w:rsidP="00DE03D1">
      <w:pPr>
        <w:jc w:val="both"/>
        <w:rPr>
          <w:rFonts w:ascii="Ping LCG Regular" w:hAnsi="Ping LCG Regular"/>
          <w:sz w:val="18"/>
          <w:szCs w:val="18"/>
          <w:lang w:val="el-GR"/>
        </w:rPr>
      </w:pPr>
      <w:r w:rsidRPr="008F0BDF">
        <w:rPr>
          <w:rFonts w:ascii="Ping LCG Regular" w:hAnsi="Ping LCG Regular"/>
          <w:sz w:val="18"/>
          <w:szCs w:val="18"/>
          <w:lang w:val="el-GR"/>
        </w:rPr>
        <w:t>Ορισμένες πληροφορίες που περιέχονται στην παρούσα ανακοίνωση, συμπεριλαμβανομένων των μελλοντικών EBITDA, των κερδών, των δαπανών και άλλων οικονομικών μέτρων που αφορούν σε μελλοντικές περιόδους, βασίζονται σε τρέχουσες προσδοκίες και παραδοχές σχετικά με μελλοντικά γεγονότα. Οι χρηματοοικονομικοί δείκτες που αναφέρονται σε μελλοντικές περιόδους βασίζονται σε τρέχουσες εύλογες και καλόπιστες παραδοχές. Δεν παρέχουμε καμία διαβεβαίωση ότι οι εν λόγω χρηματοοικονομικοί δείκτες θα επιτευχθούν.</w:t>
      </w:r>
    </w:p>
    <w:p w14:paraId="1AECD7E6" w14:textId="77777777" w:rsidR="00DE03D1" w:rsidRPr="008F0BDF" w:rsidRDefault="00DE03D1" w:rsidP="00DE03D1">
      <w:pPr>
        <w:jc w:val="both"/>
        <w:rPr>
          <w:rFonts w:ascii="Ping LCG Regular" w:hAnsi="Ping LCG Regular"/>
          <w:sz w:val="18"/>
          <w:szCs w:val="18"/>
          <w:lang w:val="el-GR"/>
        </w:rPr>
      </w:pPr>
    </w:p>
    <w:p w14:paraId="0B235039" w14:textId="77777777" w:rsidR="00DE03D1" w:rsidRPr="008F0BDF" w:rsidRDefault="00DE03D1" w:rsidP="00DE03D1">
      <w:pPr>
        <w:jc w:val="both"/>
        <w:rPr>
          <w:rFonts w:ascii="Ping LCG Regular" w:hAnsi="Ping LCG Regular"/>
          <w:sz w:val="18"/>
          <w:szCs w:val="18"/>
          <w:lang w:val="el-GR"/>
        </w:rPr>
      </w:pPr>
      <w:r w:rsidRPr="008F0BDF">
        <w:rPr>
          <w:rFonts w:ascii="Ping LCG Regular" w:hAnsi="Ping LCG Regular"/>
          <w:sz w:val="18"/>
          <w:szCs w:val="18"/>
          <w:lang w:val="el-GR"/>
        </w:rPr>
        <w:t xml:space="preserve">Αυτές οι δηλώσεις που αφορούν μελλοντικά γεγονότα υπόκεινται, μεταξύ άλλων, i) στους επιχειρηματικούς, οικονομικούς και ανταγωνιστικούς κινδύνους, </w:t>
      </w:r>
      <w:proofErr w:type="spellStart"/>
      <w:r w:rsidRPr="008F0BDF">
        <w:rPr>
          <w:rFonts w:ascii="Ping LCG Regular" w:hAnsi="Ping LCG Regular"/>
          <w:sz w:val="18"/>
          <w:szCs w:val="18"/>
          <w:lang w:val="el-GR"/>
        </w:rPr>
        <w:t>ii</w:t>
      </w:r>
      <w:proofErr w:type="spellEnd"/>
      <w:r w:rsidRPr="008F0BDF">
        <w:rPr>
          <w:rFonts w:ascii="Ping LCG Regular" w:hAnsi="Ping LCG Regular"/>
          <w:sz w:val="18"/>
          <w:szCs w:val="18"/>
          <w:lang w:val="el-GR"/>
        </w:rPr>
        <w:t xml:space="preserve">) στις μακροοικονομικές συνθήκες, </w:t>
      </w:r>
      <w:proofErr w:type="spellStart"/>
      <w:r w:rsidRPr="008F0BDF">
        <w:rPr>
          <w:rFonts w:ascii="Ping LCG Regular" w:hAnsi="Ping LCG Regular"/>
          <w:sz w:val="18"/>
          <w:szCs w:val="18"/>
          <w:lang w:val="el-GR"/>
        </w:rPr>
        <w:t>iii</w:t>
      </w:r>
      <w:proofErr w:type="spellEnd"/>
      <w:r w:rsidRPr="008F0BDF">
        <w:rPr>
          <w:rFonts w:ascii="Ping LCG Regular" w:hAnsi="Ping LCG Regular"/>
          <w:sz w:val="18"/>
          <w:szCs w:val="18"/>
          <w:lang w:val="el-GR"/>
        </w:rPr>
        <w:t>) στη διακύμανση του ευρώ έναντι των συναλλαγματικών ισοτιμιών του δολαρίου ΗΠΑ και του LEU Ρουμανίας</w:t>
      </w:r>
      <w:r w:rsidRPr="008F0BDF">
        <w:rPr>
          <w:rFonts w:ascii="Ping LCG Regular" w:hAnsi="Ping LCG Regular"/>
          <w:color w:val="000000" w:themeColor="text1"/>
          <w:sz w:val="18"/>
          <w:szCs w:val="18"/>
          <w:lang w:val="el-GR"/>
        </w:rPr>
        <w:t xml:space="preserve">, </w:t>
      </w:r>
      <w:proofErr w:type="spellStart"/>
      <w:r w:rsidRPr="008F0BDF">
        <w:rPr>
          <w:rFonts w:ascii="Ping LCG Regular" w:hAnsi="Ping LCG Regular"/>
          <w:color w:val="000000" w:themeColor="text1"/>
          <w:sz w:val="18"/>
          <w:szCs w:val="18"/>
          <w:lang w:val="el-GR"/>
        </w:rPr>
        <w:t>iv</w:t>
      </w:r>
      <w:proofErr w:type="spellEnd"/>
      <w:r w:rsidRPr="008F0BDF">
        <w:rPr>
          <w:rFonts w:ascii="Ping LCG Regular" w:hAnsi="Ping LCG Regular"/>
          <w:color w:val="000000" w:themeColor="text1"/>
          <w:sz w:val="18"/>
          <w:szCs w:val="18"/>
          <w:lang w:val="el-GR"/>
        </w:rPr>
        <w:t>) στις τιμές πετρελαίου</w:t>
      </w:r>
      <w:r w:rsidRPr="008F0BDF">
        <w:rPr>
          <w:rFonts w:ascii="Ping LCG Regular" w:hAnsi="Ping LCG Regular"/>
          <w:sz w:val="18"/>
          <w:szCs w:val="18"/>
          <w:lang w:val="el-GR"/>
        </w:rPr>
        <w:t>, φυσικού αερίου και ηλεκτρικής ενέργειας και στην τιμή των δικαιωμάτων εκπομπών CO</w:t>
      </w:r>
      <w:r w:rsidRPr="008F0BDF">
        <w:rPr>
          <w:rFonts w:ascii="Ping LCG Regular" w:hAnsi="Ping LCG Regular"/>
          <w:sz w:val="18"/>
          <w:szCs w:val="18"/>
          <w:vertAlign w:val="subscript"/>
          <w:lang w:val="el-GR"/>
        </w:rPr>
        <w:t>2</w:t>
      </w:r>
      <w:r w:rsidRPr="008F0BDF">
        <w:rPr>
          <w:rFonts w:ascii="Ping LCG Regular" w:hAnsi="Ping LCG Regular"/>
          <w:sz w:val="18"/>
          <w:szCs w:val="18"/>
          <w:lang w:val="el-GR"/>
        </w:rPr>
        <w:t xml:space="preserve">, v) στις αλλαγές του τοπίου της αγοράς και του νομικού, κανονιστικού, φορολογικού και δημοσιονομικού τοπίου, </w:t>
      </w:r>
      <w:proofErr w:type="spellStart"/>
      <w:r w:rsidRPr="008F0BDF">
        <w:rPr>
          <w:rFonts w:ascii="Ping LCG Regular" w:hAnsi="Ping LCG Regular"/>
          <w:sz w:val="18"/>
          <w:szCs w:val="18"/>
          <w:lang w:val="el-GR"/>
        </w:rPr>
        <w:t>vi</w:t>
      </w:r>
      <w:proofErr w:type="spellEnd"/>
      <w:r w:rsidRPr="008F0BDF">
        <w:rPr>
          <w:rFonts w:ascii="Ping LCG Regular" w:hAnsi="Ping LCG Regular"/>
          <w:sz w:val="18"/>
          <w:szCs w:val="18"/>
          <w:lang w:val="el-GR"/>
        </w:rPr>
        <w:t xml:space="preserve">) στην εξέλιξη του επισφαλούς χρέους, και </w:t>
      </w:r>
      <w:proofErr w:type="spellStart"/>
      <w:r w:rsidRPr="008F0BDF">
        <w:rPr>
          <w:rFonts w:ascii="Ping LCG Regular" w:hAnsi="Ping LCG Regular"/>
          <w:sz w:val="18"/>
          <w:szCs w:val="18"/>
          <w:lang w:val="el-GR"/>
        </w:rPr>
        <w:t>vii</w:t>
      </w:r>
      <w:proofErr w:type="spellEnd"/>
      <w:r w:rsidRPr="008F0BDF">
        <w:rPr>
          <w:rFonts w:ascii="Ping LCG Regular" w:hAnsi="Ping LCG Regular"/>
          <w:sz w:val="18"/>
          <w:szCs w:val="18"/>
          <w:lang w:val="el-GR"/>
        </w:rPr>
        <w:t xml:space="preserve">) άλλες αβεβαιότητες και απρόβλεπτες καταστάσεις, οι οποίες σχετίζονται με παράγοντες που η ΔΕΗ δεν είναι σε θέση να ελέγξει ή να εκτιμήσει με ακρίβεια, και οι οποίοι θα μπορούσαν να έχουν ως αποτέλεσμα την ουσιαστική διαφοροποίηση των πραγματικών γεγονότων ή των αποτελεσμάτων από εκείνα που εκφράζονται στην ανακοίνωση. Ως εκ τούτου, δεν θα πρέπει να βασίζεστε υπέρ του δέοντος σε αυτές τις δηλώσεις που αφορούν μελλοντικά γεγονότα, οι οποίες αφορούν μόνον την ημερομηνία της παρούσας ανακοίνωσης. </w:t>
      </w:r>
    </w:p>
    <w:p w14:paraId="64C960FD" w14:textId="77777777" w:rsidR="00DE03D1" w:rsidRPr="008F0BDF" w:rsidRDefault="00DE03D1" w:rsidP="00DE03D1">
      <w:pPr>
        <w:jc w:val="both"/>
        <w:rPr>
          <w:rFonts w:ascii="Ping LCG Regular" w:hAnsi="Ping LCG Regular"/>
          <w:sz w:val="18"/>
          <w:szCs w:val="18"/>
          <w:lang w:val="el-GR"/>
        </w:rPr>
      </w:pPr>
    </w:p>
    <w:p w14:paraId="1C9AB24A" w14:textId="77777777" w:rsidR="00DE03D1" w:rsidRPr="008F0BDF" w:rsidRDefault="00DE03D1" w:rsidP="00DE03D1">
      <w:pPr>
        <w:jc w:val="both"/>
        <w:rPr>
          <w:rFonts w:ascii="Ping LCG Regular" w:hAnsi="Ping LCG Regular"/>
          <w:sz w:val="18"/>
          <w:szCs w:val="18"/>
          <w:lang w:val="el-GR"/>
        </w:rPr>
      </w:pPr>
      <w:r w:rsidRPr="008F0BDF">
        <w:rPr>
          <w:rFonts w:ascii="Ping LCG Regular" w:hAnsi="Ping LCG Regular"/>
          <w:sz w:val="18"/>
          <w:szCs w:val="18"/>
          <w:lang w:val="el-GR"/>
        </w:rPr>
        <w:t>Η ΔΕΗ δεν αναλαμβάνει καμία υποχρέωση να δημοσιοποιήσει τυχόν αναθεωρήσεις αυτών των δηλώσεων ώστε να αντικατοπτρίζουν γεγονότα ή περιστάσεις μετά την ημερομηνία της παρούσας ανακοίνωσης.</w:t>
      </w:r>
    </w:p>
    <w:p w14:paraId="75B67554" w14:textId="77777777" w:rsidR="00DE03D1" w:rsidRPr="008F0BDF" w:rsidRDefault="00DE03D1" w:rsidP="00DE03D1">
      <w:pPr>
        <w:jc w:val="both"/>
        <w:rPr>
          <w:rFonts w:ascii="Ping LCG Regular" w:hAnsi="Ping LCG Regular"/>
          <w:color w:val="FF0000"/>
          <w:sz w:val="20"/>
          <w:szCs w:val="20"/>
          <w:lang w:val="el-GR"/>
        </w:rPr>
      </w:pPr>
    </w:p>
    <w:p w14:paraId="070F9179" w14:textId="77777777" w:rsidR="0037414F" w:rsidRDefault="0037414F" w:rsidP="00DE03D1">
      <w:pPr>
        <w:jc w:val="both"/>
        <w:rPr>
          <w:rFonts w:ascii="Ping LCG Regular" w:hAnsi="Ping LCG Regular"/>
          <w:b/>
          <w:bCs/>
          <w:sz w:val="20"/>
          <w:szCs w:val="20"/>
          <w:lang w:val="el-GR"/>
        </w:rPr>
      </w:pPr>
    </w:p>
    <w:p w14:paraId="2C3535C3" w14:textId="6D44E4EF" w:rsidR="00DE03D1" w:rsidRPr="005C2172" w:rsidRDefault="00DE03D1" w:rsidP="00DE03D1">
      <w:pPr>
        <w:jc w:val="both"/>
        <w:rPr>
          <w:rFonts w:ascii="Ping LCG Regular" w:hAnsi="Ping LCG Regular"/>
          <w:b/>
          <w:bCs/>
          <w:sz w:val="20"/>
          <w:szCs w:val="20"/>
          <w:lang w:val="el-GR"/>
        </w:rPr>
      </w:pPr>
      <w:r w:rsidRPr="007A5994">
        <w:rPr>
          <w:rFonts w:ascii="Ping LCG Regular" w:hAnsi="Ping LCG Regular"/>
          <w:b/>
          <w:bCs/>
          <w:sz w:val="20"/>
          <w:szCs w:val="20"/>
          <w:lang w:val="el-GR"/>
        </w:rPr>
        <w:lastRenderedPageBreak/>
        <w:t xml:space="preserve">ΠΑΡΑΡΤΗΜΑ </w:t>
      </w:r>
      <w:r w:rsidRPr="007A5994">
        <w:rPr>
          <w:rFonts w:ascii="Ping LCG Regular" w:hAnsi="Ping LCG Regular"/>
          <w:b/>
          <w:bCs/>
          <w:sz w:val="20"/>
          <w:szCs w:val="20"/>
        </w:rPr>
        <w:t>I</w:t>
      </w:r>
      <w:r w:rsidRPr="007A5994">
        <w:rPr>
          <w:rFonts w:ascii="Ping LCG Regular" w:hAnsi="Ping LCG Regular"/>
          <w:b/>
          <w:bCs/>
          <w:sz w:val="20"/>
          <w:szCs w:val="20"/>
          <w:lang w:val="el-GR"/>
        </w:rPr>
        <w:t xml:space="preserve"> – ΣΥΝΟΠΤΙΚΕΣ ΕΝΟΠΟΙΗΜΕΝΕΣ ΟΙΚΟΝΟΜΙΚΕΣ ΚΑΤΑΣΤΑΣΕΙΣ</w:t>
      </w:r>
    </w:p>
    <w:p w14:paraId="105C53FB" w14:textId="77777777" w:rsidR="00DE03D1" w:rsidRPr="001B4B0F" w:rsidRDefault="00DE03D1" w:rsidP="00DE03D1">
      <w:pPr>
        <w:jc w:val="both"/>
        <w:rPr>
          <w:rFonts w:ascii="Ping LCG Regular" w:hAnsi="Ping LCG Regular"/>
          <w:b/>
          <w:bCs/>
          <w:sz w:val="20"/>
          <w:szCs w:val="20"/>
          <w:highlight w:val="yellow"/>
          <w:lang w:val="el-GR"/>
        </w:rPr>
      </w:pPr>
    </w:p>
    <w:p w14:paraId="58A2FF3A" w14:textId="31BC7926" w:rsidR="00DE03D1" w:rsidRPr="008455A9" w:rsidRDefault="00DE03D1" w:rsidP="000A5990">
      <w:pPr>
        <w:jc w:val="both"/>
        <w:rPr>
          <w:rFonts w:ascii="Ping LCG Regular" w:hAnsi="Ping LCG Regular"/>
          <w:b/>
          <w:sz w:val="20"/>
          <w:szCs w:val="20"/>
          <w:lang w:val="el-GR"/>
        </w:rPr>
      </w:pPr>
      <w:r w:rsidRPr="00ED454B">
        <w:rPr>
          <w:rFonts w:ascii="Ping LCG Regular" w:hAnsi="Ping LCG Regular"/>
          <w:b/>
          <w:sz w:val="20"/>
          <w:szCs w:val="20"/>
          <w:lang w:val="el-GR"/>
        </w:rPr>
        <w:t>Ενοποιημένη Κατάσταση Χρηματοοικονομικής Θέσης (Συνοπτική)</w:t>
      </w:r>
    </w:p>
    <w:p w14:paraId="28530874" w14:textId="77777777" w:rsidR="000A5990" w:rsidRPr="008455A9" w:rsidRDefault="000A5990" w:rsidP="000A5990">
      <w:pPr>
        <w:jc w:val="both"/>
        <w:rPr>
          <w:rFonts w:ascii="Ping LCG Regular" w:hAnsi="Ping LCG Regular"/>
          <w:b/>
          <w:sz w:val="20"/>
          <w:szCs w:val="20"/>
          <w:lang w:val="el-GR"/>
        </w:rPr>
      </w:pPr>
    </w:p>
    <w:p w14:paraId="002640CC" w14:textId="43712C31" w:rsidR="00DE03D1" w:rsidRPr="00E44EC5" w:rsidRDefault="0045508F" w:rsidP="00DE03D1">
      <w:pPr>
        <w:rPr>
          <w:rFonts w:ascii="Ping LCG Regular" w:hAnsi="Ping LCG Regular"/>
          <w:b/>
          <w:sz w:val="20"/>
          <w:szCs w:val="20"/>
          <w:lang w:val="el-GR"/>
        </w:rPr>
      </w:pPr>
      <w:r w:rsidRPr="0045508F">
        <w:rPr>
          <w:noProof/>
        </w:rPr>
        <w:drawing>
          <wp:inline distT="0" distB="0" distL="0" distR="0" wp14:anchorId="7616E212" wp14:editId="01BD5E46">
            <wp:extent cx="5594350" cy="5986780"/>
            <wp:effectExtent l="0" t="0" r="6350" b="0"/>
            <wp:docPr id="1095298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94350" cy="5986780"/>
                    </a:xfrm>
                    <a:prstGeom prst="rect">
                      <a:avLst/>
                    </a:prstGeom>
                    <a:noFill/>
                    <a:ln>
                      <a:noFill/>
                    </a:ln>
                  </pic:spPr>
                </pic:pic>
              </a:graphicData>
            </a:graphic>
          </wp:inline>
        </w:drawing>
      </w:r>
    </w:p>
    <w:p w14:paraId="569074BA" w14:textId="77777777" w:rsidR="00DE03D1" w:rsidRDefault="00DE03D1" w:rsidP="00DE03D1">
      <w:pPr>
        <w:rPr>
          <w:rFonts w:ascii="Ping LCG Regular" w:hAnsi="Ping LCG Regular"/>
          <w:b/>
          <w:sz w:val="20"/>
          <w:szCs w:val="20"/>
          <w:lang w:val="el-GR"/>
        </w:rPr>
      </w:pPr>
    </w:p>
    <w:p w14:paraId="7EDADA43" w14:textId="77777777" w:rsidR="00DE03D1" w:rsidRDefault="00DE03D1" w:rsidP="00DE03D1">
      <w:pPr>
        <w:rPr>
          <w:rFonts w:ascii="Ping LCG Regular" w:hAnsi="Ping LCG Regular"/>
          <w:b/>
          <w:sz w:val="20"/>
          <w:szCs w:val="20"/>
          <w:lang w:val="el-GR"/>
        </w:rPr>
      </w:pPr>
    </w:p>
    <w:p w14:paraId="2CF42AA3" w14:textId="77777777" w:rsidR="00DE03D1" w:rsidRDefault="00DE03D1" w:rsidP="00DE03D1">
      <w:pPr>
        <w:rPr>
          <w:rFonts w:ascii="Ping LCG Regular" w:hAnsi="Ping LCG Regular"/>
          <w:b/>
          <w:sz w:val="20"/>
          <w:szCs w:val="20"/>
          <w:lang w:val="el-GR"/>
        </w:rPr>
      </w:pPr>
    </w:p>
    <w:p w14:paraId="2E147114" w14:textId="77777777" w:rsidR="00DE03D1" w:rsidRDefault="00DE03D1" w:rsidP="00DE03D1">
      <w:pPr>
        <w:rPr>
          <w:rFonts w:ascii="Ping LCG Regular" w:hAnsi="Ping LCG Regular"/>
          <w:b/>
          <w:sz w:val="20"/>
          <w:szCs w:val="20"/>
          <w:lang w:val="el-GR"/>
        </w:rPr>
      </w:pPr>
    </w:p>
    <w:p w14:paraId="6142D924" w14:textId="77777777" w:rsidR="00DE03D1" w:rsidRDefault="00DE03D1" w:rsidP="00DE03D1">
      <w:pPr>
        <w:rPr>
          <w:rFonts w:ascii="Ping LCG Regular" w:hAnsi="Ping LCG Regular"/>
          <w:b/>
          <w:sz w:val="20"/>
          <w:szCs w:val="20"/>
          <w:lang w:val="el-GR"/>
        </w:rPr>
      </w:pPr>
    </w:p>
    <w:p w14:paraId="5C9121DA" w14:textId="77777777" w:rsidR="00DE03D1" w:rsidRDefault="00DE03D1" w:rsidP="00DE03D1">
      <w:pPr>
        <w:rPr>
          <w:rFonts w:ascii="Ping LCG Regular" w:hAnsi="Ping LCG Regular"/>
          <w:b/>
          <w:sz w:val="20"/>
          <w:szCs w:val="20"/>
          <w:lang w:val="el-GR"/>
        </w:rPr>
      </w:pPr>
    </w:p>
    <w:p w14:paraId="46CC97FD" w14:textId="77777777" w:rsidR="00DE03D1" w:rsidRDefault="00DE03D1" w:rsidP="00DE03D1">
      <w:pPr>
        <w:rPr>
          <w:rFonts w:ascii="Ping LCG Regular" w:hAnsi="Ping LCG Regular"/>
          <w:b/>
          <w:sz w:val="20"/>
          <w:szCs w:val="20"/>
          <w:lang w:val="el-GR"/>
        </w:rPr>
      </w:pPr>
    </w:p>
    <w:p w14:paraId="50B57CE7" w14:textId="4BAEF5CA" w:rsidR="00DE03D1" w:rsidRPr="008D107F" w:rsidRDefault="00DE03D1" w:rsidP="00DE03D1">
      <w:pPr>
        <w:rPr>
          <w:rFonts w:ascii="Ping LCG Regular" w:hAnsi="Ping LCG Regular"/>
          <w:b/>
          <w:sz w:val="20"/>
          <w:szCs w:val="20"/>
          <w:highlight w:val="yellow"/>
          <w:lang w:val="el-GR"/>
        </w:rPr>
      </w:pPr>
      <w:r>
        <w:rPr>
          <w:rFonts w:ascii="Ping LCG Regular" w:hAnsi="Ping LCG Regular"/>
          <w:b/>
          <w:sz w:val="20"/>
          <w:szCs w:val="20"/>
          <w:lang w:val="el-GR"/>
        </w:rPr>
        <w:br w:type="page"/>
      </w:r>
      <w:r w:rsidRPr="00ED454B">
        <w:rPr>
          <w:rFonts w:ascii="Ping LCG Regular" w:hAnsi="Ping LCG Regular"/>
          <w:b/>
          <w:sz w:val="20"/>
          <w:szCs w:val="20"/>
          <w:lang w:val="el-GR"/>
        </w:rPr>
        <w:lastRenderedPageBreak/>
        <w:t>Ενοποιημένη Κατάσταση Αποτελεσμάτων (</w:t>
      </w:r>
      <w:r w:rsidRPr="002E6D57">
        <w:rPr>
          <w:rFonts w:ascii="Ping LCG Regular" w:hAnsi="Ping LCG Regular"/>
          <w:b/>
          <w:sz w:val="20"/>
          <w:szCs w:val="20"/>
          <w:lang w:val="el-GR"/>
        </w:rPr>
        <w:t>Συνοπτική)</w:t>
      </w:r>
    </w:p>
    <w:p w14:paraId="5D85992F" w14:textId="77777777" w:rsidR="00DE03D1" w:rsidRDefault="00DE03D1" w:rsidP="00DE03D1">
      <w:pPr>
        <w:rPr>
          <w:rFonts w:ascii="Ping LCG Regular" w:hAnsi="Ping LCG Regular"/>
          <w:b/>
          <w:sz w:val="20"/>
          <w:szCs w:val="20"/>
          <w:lang w:val="el-GR"/>
        </w:rPr>
      </w:pPr>
    </w:p>
    <w:p w14:paraId="69529629" w14:textId="0628A4B4" w:rsidR="00DE03D1" w:rsidRPr="00E62780" w:rsidRDefault="00E62780" w:rsidP="00DE03D1">
      <w:pPr>
        <w:rPr>
          <w:rFonts w:ascii="Ping LCG Regular" w:hAnsi="Ping LCG Regular"/>
          <w:b/>
          <w:sz w:val="20"/>
          <w:szCs w:val="20"/>
          <w:lang w:val="el-GR"/>
        </w:rPr>
      </w:pPr>
      <w:r w:rsidRPr="00E62780">
        <w:rPr>
          <w:noProof/>
        </w:rPr>
        <w:drawing>
          <wp:inline distT="0" distB="0" distL="0" distR="0" wp14:anchorId="78242409" wp14:editId="70BAAA80">
            <wp:extent cx="5594350" cy="5208905"/>
            <wp:effectExtent l="0" t="0" r="6350" b="0"/>
            <wp:docPr id="16586921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94350" cy="5208905"/>
                    </a:xfrm>
                    <a:prstGeom prst="rect">
                      <a:avLst/>
                    </a:prstGeom>
                    <a:noFill/>
                    <a:ln>
                      <a:noFill/>
                    </a:ln>
                  </pic:spPr>
                </pic:pic>
              </a:graphicData>
            </a:graphic>
          </wp:inline>
        </w:drawing>
      </w:r>
    </w:p>
    <w:p w14:paraId="6997F122" w14:textId="19C6B3A7" w:rsidR="00B26738" w:rsidRPr="003D0BA9" w:rsidRDefault="00B26738" w:rsidP="00DE03D1">
      <w:pPr>
        <w:rPr>
          <w:rFonts w:ascii="Ping LCG Regular" w:hAnsi="Ping LCG Regular"/>
          <w:b/>
          <w:sz w:val="20"/>
          <w:szCs w:val="20"/>
          <w:lang w:val="el-GR"/>
        </w:rPr>
      </w:pPr>
    </w:p>
    <w:p w14:paraId="205786ED" w14:textId="755639C1" w:rsidR="00DE03D1" w:rsidRPr="003D0BA9" w:rsidRDefault="00DE03D1" w:rsidP="00DE03D1">
      <w:pPr>
        <w:jc w:val="both"/>
        <w:rPr>
          <w:rFonts w:ascii="Ping LCG Regular" w:hAnsi="Ping LCG Regular"/>
          <w:b/>
          <w:sz w:val="20"/>
          <w:szCs w:val="20"/>
          <w:lang w:val="el-GR"/>
        </w:rPr>
      </w:pPr>
    </w:p>
    <w:p w14:paraId="58DFF861" w14:textId="77777777" w:rsidR="00DE03D1" w:rsidRDefault="00DE03D1" w:rsidP="00DE03D1">
      <w:pPr>
        <w:jc w:val="both"/>
        <w:rPr>
          <w:rFonts w:ascii="Ping LCG Regular" w:hAnsi="Ping LCG Regular"/>
          <w:b/>
          <w:sz w:val="20"/>
          <w:szCs w:val="20"/>
          <w:lang w:val="el-GR"/>
        </w:rPr>
      </w:pPr>
    </w:p>
    <w:p w14:paraId="2348899E" w14:textId="77777777" w:rsidR="00DE03D1" w:rsidRDefault="00DE03D1" w:rsidP="00DE03D1">
      <w:pPr>
        <w:jc w:val="both"/>
        <w:rPr>
          <w:rFonts w:ascii="Ping LCG Regular" w:hAnsi="Ping LCG Regular"/>
          <w:b/>
          <w:sz w:val="20"/>
          <w:szCs w:val="20"/>
          <w:lang w:val="el-GR"/>
        </w:rPr>
      </w:pPr>
    </w:p>
    <w:p w14:paraId="30D426D9" w14:textId="77777777" w:rsidR="00DE03D1" w:rsidRDefault="00DE03D1" w:rsidP="00DE03D1">
      <w:pPr>
        <w:jc w:val="both"/>
        <w:rPr>
          <w:rFonts w:ascii="Ping LCG Regular" w:hAnsi="Ping LCG Regular"/>
          <w:b/>
          <w:sz w:val="20"/>
          <w:szCs w:val="20"/>
          <w:lang w:val="el-GR"/>
        </w:rPr>
      </w:pPr>
    </w:p>
    <w:p w14:paraId="55E3325D" w14:textId="77777777" w:rsidR="00DE03D1" w:rsidRDefault="00DE03D1" w:rsidP="00DE03D1">
      <w:pPr>
        <w:jc w:val="both"/>
        <w:rPr>
          <w:rFonts w:ascii="Ping LCG Regular" w:hAnsi="Ping LCG Regular"/>
          <w:b/>
          <w:sz w:val="20"/>
          <w:szCs w:val="20"/>
          <w:lang w:val="el-GR"/>
        </w:rPr>
      </w:pPr>
    </w:p>
    <w:p w14:paraId="08100A55" w14:textId="77777777" w:rsidR="00DE03D1" w:rsidRDefault="00DE03D1" w:rsidP="00DE03D1">
      <w:pPr>
        <w:jc w:val="both"/>
        <w:rPr>
          <w:rFonts w:ascii="Ping LCG Regular" w:hAnsi="Ping LCG Regular"/>
          <w:b/>
          <w:sz w:val="20"/>
          <w:szCs w:val="20"/>
          <w:lang w:val="el-GR"/>
        </w:rPr>
      </w:pPr>
    </w:p>
    <w:p w14:paraId="6A690B9C" w14:textId="77777777" w:rsidR="00DE03D1" w:rsidRDefault="00DE03D1" w:rsidP="00DE03D1">
      <w:pPr>
        <w:jc w:val="both"/>
        <w:rPr>
          <w:rFonts w:ascii="Ping LCG Regular" w:hAnsi="Ping LCG Regular"/>
          <w:b/>
          <w:sz w:val="20"/>
          <w:szCs w:val="20"/>
          <w:lang w:val="el-GR"/>
        </w:rPr>
      </w:pPr>
    </w:p>
    <w:p w14:paraId="5AEF4A5E" w14:textId="77777777" w:rsidR="00DE03D1" w:rsidRDefault="00DE03D1" w:rsidP="00DE03D1">
      <w:pPr>
        <w:jc w:val="both"/>
        <w:rPr>
          <w:rFonts w:ascii="Ping LCG Regular" w:hAnsi="Ping LCG Regular"/>
          <w:b/>
          <w:sz w:val="20"/>
          <w:szCs w:val="20"/>
          <w:lang w:val="el-GR"/>
        </w:rPr>
      </w:pPr>
    </w:p>
    <w:p w14:paraId="2904EB2A" w14:textId="77777777" w:rsidR="00DE03D1" w:rsidRDefault="00DE03D1" w:rsidP="00DE03D1">
      <w:pPr>
        <w:jc w:val="both"/>
        <w:rPr>
          <w:rFonts w:ascii="Ping LCG Regular" w:hAnsi="Ping LCG Regular"/>
          <w:b/>
          <w:sz w:val="20"/>
          <w:szCs w:val="20"/>
          <w:lang w:val="el-GR"/>
        </w:rPr>
      </w:pPr>
    </w:p>
    <w:p w14:paraId="3CBE7D21" w14:textId="77777777" w:rsidR="00DE03D1" w:rsidRDefault="00DE03D1" w:rsidP="00DE03D1">
      <w:pPr>
        <w:jc w:val="both"/>
        <w:rPr>
          <w:rFonts w:ascii="Ping LCG Regular" w:hAnsi="Ping LCG Regular"/>
          <w:b/>
          <w:sz w:val="20"/>
          <w:szCs w:val="20"/>
          <w:lang w:val="el-GR"/>
        </w:rPr>
      </w:pPr>
    </w:p>
    <w:p w14:paraId="72D330C7" w14:textId="77777777" w:rsidR="00DE03D1" w:rsidRDefault="00DE03D1" w:rsidP="00DE03D1">
      <w:pPr>
        <w:jc w:val="both"/>
        <w:rPr>
          <w:rFonts w:ascii="Ping LCG Regular" w:hAnsi="Ping LCG Regular"/>
          <w:b/>
          <w:sz w:val="20"/>
          <w:szCs w:val="20"/>
          <w:lang w:val="el-GR"/>
        </w:rPr>
      </w:pPr>
    </w:p>
    <w:p w14:paraId="2B0341AC" w14:textId="77777777" w:rsidR="00DE03D1" w:rsidRDefault="00DE03D1" w:rsidP="00DE03D1">
      <w:pPr>
        <w:jc w:val="both"/>
        <w:rPr>
          <w:rFonts w:ascii="Ping LCG Regular" w:hAnsi="Ping LCG Regular"/>
          <w:b/>
          <w:sz w:val="20"/>
          <w:szCs w:val="20"/>
          <w:lang w:val="el-GR"/>
        </w:rPr>
      </w:pPr>
    </w:p>
    <w:p w14:paraId="36FB353B" w14:textId="77777777" w:rsidR="00DE03D1" w:rsidRDefault="00DE03D1" w:rsidP="00DE03D1">
      <w:pPr>
        <w:jc w:val="both"/>
        <w:rPr>
          <w:rFonts w:ascii="Ping LCG Regular" w:hAnsi="Ping LCG Regular"/>
          <w:b/>
          <w:sz w:val="20"/>
          <w:szCs w:val="20"/>
          <w:lang w:val="el-GR"/>
        </w:rPr>
      </w:pPr>
    </w:p>
    <w:p w14:paraId="5E35F8CA" w14:textId="77777777" w:rsidR="00DE03D1" w:rsidRDefault="00DE03D1" w:rsidP="00DE03D1">
      <w:pPr>
        <w:jc w:val="both"/>
        <w:rPr>
          <w:rFonts w:ascii="Ping LCG Regular" w:hAnsi="Ping LCG Regular"/>
          <w:b/>
          <w:sz w:val="20"/>
          <w:szCs w:val="20"/>
          <w:lang w:val="el-GR"/>
        </w:rPr>
      </w:pPr>
    </w:p>
    <w:p w14:paraId="57964DD9" w14:textId="77777777" w:rsidR="00DE03D1" w:rsidRDefault="00DE03D1" w:rsidP="00DE03D1">
      <w:pPr>
        <w:jc w:val="both"/>
        <w:rPr>
          <w:rFonts w:ascii="Ping LCG Regular" w:hAnsi="Ping LCG Regular"/>
          <w:b/>
          <w:sz w:val="20"/>
          <w:szCs w:val="20"/>
          <w:lang w:val="el-GR"/>
        </w:rPr>
      </w:pPr>
    </w:p>
    <w:p w14:paraId="3C357053" w14:textId="77777777" w:rsidR="00DE03D1" w:rsidRDefault="00DE03D1" w:rsidP="00DE03D1">
      <w:pPr>
        <w:jc w:val="both"/>
        <w:rPr>
          <w:rFonts w:ascii="Ping LCG Regular" w:hAnsi="Ping LCG Regular"/>
          <w:b/>
          <w:sz w:val="20"/>
          <w:szCs w:val="20"/>
          <w:lang w:val="el-GR"/>
        </w:rPr>
      </w:pPr>
    </w:p>
    <w:p w14:paraId="6922E89B" w14:textId="77777777" w:rsidR="00DE03D1" w:rsidRDefault="00DE03D1" w:rsidP="00DE03D1">
      <w:pPr>
        <w:jc w:val="both"/>
        <w:rPr>
          <w:rFonts w:ascii="Ping LCG Regular" w:hAnsi="Ping LCG Regular"/>
          <w:b/>
          <w:sz w:val="20"/>
          <w:szCs w:val="20"/>
          <w:lang w:val="el-GR"/>
        </w:rPr>
      </w:pPr>
    </w:p>
    <w:p w14:paraId="7B4274F2" w14:textId="77777777" w:rsidR="00DE03D1" w:rsidRDefault="00DE03D1" w:rsidP="00DE03D1">
      <w:pPr>
        <w:jc w:val="both"/>
        <w:rPr>
          <w:rFonts w:ascii="Ping LCG Regular" w:hAnsi="Ping LCG Regular"/>
          <w:b/>
          <w:sz w:val="20"/>
          <w:szCs w:val="20"/>
          <w:lang w:val="el-GR"/>
        </w:rPr>
      </w:pPr>
    </w:p>
    <w:p w14:paraId="3F8D64AC" w14:textId="77777777" w:rsidR="00DE03D1" w:rsidRDefault="00DE03D1" w:rsidP="00DE03D1">
      <w:pPr>
        <w:jc w:val="both"/>
        <w:rPr>
          <w:rFonts w:ascii="Ping LCG Regular" w:hAnsi="Ping LCG Regular"/>
          <w:b/>
          <w:sz w:val="20"/>
          <w:szCs w:val="20"/>
          <w:lang w:val="el-GR"/>
        </w:rPr>
      </w:pPr>
    </w:p>
    <w:p w14:paraId="2E5BDE98" w14:textId="77777777" w:rsidR="00DE03D1" w:rsidRDefault="00DE03D1" w:rsidP="00DE03D1">
      <w:pPr>
        <w:jc w:val="both"/>
        <w:rPr>
          <w:rFonts w:ascii="Ping LCG Regular" w:hAnsi="Ping LCG Regular"/>
          <w:b/>
          <w:sz w:val="20"/>
          <w:szCs w:val="20"/>
          <w:lang w:val="el-GR"/>
        </w:rPr>
      </w:pPr>
    </w:p>
    <w:p w14:paraId="1CCFFE6C" w14:textId="1BC108BA" w:rsidR="00DE03D1" w:rsidRDefault="00DE03D1" w:rsidP="00DE03D1">
      <w:pPr>
        <w:rPr>
          <w:rFonts w:ascii="Ping LCG Regular" w:hAnsi="Ping LCG Regular"/>
          <w:b/>
          <w:sz w:val="20"/>
          <w:szCs w:val="20"/>
          <w:lang w:val="el-GR"/>
        </w:rPr>
      </w:pPr>
    </w:p>
    <w:p w14:paraId="0EEEA790" w14:textId="5C708912" w:rsidR="00DE03D1" w:rsidRPr="00BE5AB3" w:rsidRDefault="00DE03D1" w:rsidP="00A3090E">
      <w:pPr>
        <w:rPr>
          <w:noProof/>
          <w:lang w:val="el-GR"/>
        </w:rPr>
      </w:pPr>
      <w:r w:rsidRPr="00107D17">
        <w:rPr>
          <w:rFonts w:ascii="Ping LCG Regular" w:hAnsi="Ping LCG Regular"/>
          <w:b/>
          <w:sz w:val="20"/>
          <w:szCs w:val="20"/>
          <w:lang w:val="el-GR"/>
        </w:rPr>
        <w:t>Ενοποιημένη κατάσταση ταμιακών ροών (Συνοπτική)</w:t>
      </w:r>
      <w:r w:rsidR="006C45BF" w:rsidRPr="006C45BF">
        <w:rPr>
          <w:rFonts w:ascii="Ping LCG Regular" w:hAnsi="Ping LCG Regular"/>
          <w:b/>
          <w:sz w:val="20"/>
          <w:szCs w:val="20"/>
          <w:lang w:val="el-GR"/>
        </w:rPr>
        <w:t xml:space="preserve"> </w:t>
      </w:r>
    </w:p>
    <w:p w14:paraId="4561FD08" w14:textId="77777777" w:rsidR="0045508F" w:rsidRPr="00BE5AB3" w:rsidRDefault="0045508F" w:rsidP="00A3090E">
      <w:pPr>
        <w:rPr>
          <w:rFonts w:ascii="Ping LCG Regular" w:hAnsi="Ping LCG Regular"/>
          <w:b/>
          <w:sz w:val="20"/>
          <w:szCs w:val="20"/>
          <w:lang w:val="el-GR"/>
        </w:rPr>
      </w:pPr>
    </w:p>
    <w:p w14:paraId="24245517" w14:textId="3F8A856B" w:rsidR="0045508F" w:rsidRPr="0045508F" w:rsidRDefault="0045508F" w:rsidP="00A3090E">
      <w:pPr>
        <w:rPr>
          <w:rFonts w:ascii="Ping LCG Regular" w:hAnsi="Ping LCG Regular"/>
          <w:b/>
          <w:sz w:val="20"/>
          <w:szCs w:val="20"/>
        </w:rPr>
      </w:pPr>
      <w:r w:rsidRPr="0045508F">
        <w:rPr>
          <w:noProof/>
        </w:rPr>
        <w:drawing>
          <wp:inline distT="0" distB="0" distL="0" distR="0" wp14:anchorId="283AD086" wp14:editId="68F9D3F3">
            <wp:extent cx="5594350" cy="6412865"/>
            <wp:effectExtent l="0" t="0" r="6350" b="6985"/>
            <wp:docPr id="85946297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94350" cy="6412865"/>
                    </a:xfrm>
                    <a:prstGeom prst="rect">
                      <a:avLst/>
                    </a:prstGeom>
                    <a:noFill/>
                    <a:ln>
                      <a:noFill/>
                    </a:ln>
                  </pic:spPr>
                </pic:pic>
              </a:graphicData>
            </a:graphic>
          </wp:inline>
        </w:drawing>
      </w:r>
    </w:p>
    <w:p w14:paraId="749EF196" w14:textId="77777777" w:rsidR="00DE03D1" w:rsidRPr="005C1623" w:rsidRDefault="00DE03D1" w:rsidP="00DE03D1">
      <w:pPr>
        <w:rPr>
          <w:rFonts w:ascii="Ping LCG Regular" w:eastAsia="Calibri" w:hAnsi="Ping LCG Regular" w:cs="Arial"/>
          <w:b/>
          <w:color w:val="000000"/>
          <w:sz w:val="20"/>
          <w:szCs w:val="20"/>
          <w:highlight w:val="yellow"/>
          <w:lang w:val="el-GR"/>
        </w:rPr>
      </w:pPr>
    </w:p>
    <w:p w14:paraId="10A70321" w14:textId="3A5A31F7" w:rsidR="00DE03D1" w:rsidRPr="00B460E7" w:rsidRDefault="000C0625" w:rsidP="00DE03D1">
      <w:pPr>
        <w:pStyle w:val="DehPressRelease"/>
        <w:jc w:val="both"/>
        <w:rPr>
          <w:highlight w:val="yellow"/>
        </w:rPr>
      </w:pPr>
      <w:r>
        <w:rPr>
          <w:highlight w:val="yellow"/>
        </w:rPr>
        <w:t xml:space="preserve"> </w:t>
      </w:r>
      <w:r w:rsidR="00DE03D1" w:rsidRPr="00B460E7">
        <w:rPr>
          <w:highlight w:val="yellow"/>
        </w:rPr>
        <w:t xml:space="preserve"> </w:t>
      </w:r>
    </w:p>
    <w:p w14:paraId="722FB15F" w14:textId="77777777" w:rsidR="00DE03D1" w:rsidRPr="00B460E7" w:rsidRDefault="00DE03D1" w:rsidP="00DE03D1">
      <w:pPr>
        <w:rPr>
          <w:rFonts w:ascii="Ping LCG Regular" w:hAnsi="Ping LCG Regular"/>
          <w:sz w:val="22"/>
          <w:szCs w:val="28"/>
          <w:highlight w:val="yellow"/>
          <w:lang w:val="el-GR"/>
        </w:rPr>
      </w:pPr>
      <w:r w:rsidRPr="00B460E7">
        <w:rPr>
          <w:highlight w:val="yellow"/>
          <w:lang w:val="el-GR"/>
        </w:rPr>
        <w:br w:type="page"/>
      </w:r>
    </w:p>
    <w:p w14:paraId="46ADE1EC" w14:textId="77777777" w:rsidR="00DE03D1" w:rsidRPr="00E27593" w:rsidRDefault="00DE03D1" w:rsidP="00DE03D1">
      <w:pPr>
        <w:jc w:val="both"/>
        <w:rPr>
          <w:rFonts w:ascii="Ping LCG Regular" w:hAnsi="Ping LCG Regular" w:cstheme="minorHAnsi"/>
          <w:b/>
          <w:bCs/>
          <w:color w:val="000000"/>
          <w:sz w:val="20"/>
          <w:szCs w:val="20"/>
          <w:lang w:val="el-GR"/>
        </w:rPr>
      </w:pPr>
      <w:r w:rsidRPr="00E27593">
        <w:rPr>
          <w:rFonts w:ascii="Ping LCG Regular" w:hAnsi="Ping LCG Regular" w:cstheme="minorHAnsi"/>
          <w:b/>
          <w:bCs/>
          <w:color w:val="000000"/>
          <w:sz w:val="20"/>
          <w:szCs w:val="20"/>
          <w:lang w:val="el-GR"/>
        </w:rPr>
        <w:lastRenderedPageBreak/>
        <w:t>ΠΑΡΑΡΤΗΜΑ II</w:t>
      </w:r>
    </w:p>
    <w:p w14:paraId="17C0E7C3" w14:textId="77777777" w:rsidR="00DE03D1" w:rsidRPr="00E27593" w:rsidRDefault="00DE03D1" w:rsidP="00DE03D1">
      <w:pPr>
        <w:jc w:val="both"/>
        <w:rPr>
          <w:rFonts w:ascii="Ping LCG Regular" w:hAnsi="Ping LCG Regular" w:cstheme="minorHAnsi"/>
          <w:color w:val="000000"/>
          <w:sz w:val="20"/>
          <w:szCs w:val="20"/>
          <w:lang w:val="el-GR"/>
        </w:rPr>
      </w:pPr>
    </w:p>
    <w:p w14:paraId="7B795944" w14:textId="20B5AB9A" w:rsidR="00234AB0" w:rsidRPr="005C24E4" w:rsidRDefault="00C724A6" w:rsidP="002D2BD8">
      <w:pPr>
        <w:autoSpaceDE w:val="0"/>
        <w:autoSpaceDN w:val="0"/>
        <w:adjustRightInd w:val="0"/>
        <w:spacing w:after="160" w:line="259" w:lineRule="auto"/>
        <w:rPr>
          <w:rFonts w:ascii="Ping LCG Regular" w:hAnsi="Ping LCG Regular" w:cstheme="minorHAnsi"/>
          <w:b/>
          <w:color w:val="000000"/>
          <w:sz w:val="20"/>
          <w:szCs w:val="20"/>
          <w:lang w:val="el-GR"/>
        </w:rPr>
      </w:pPr>
      <w:r w:rsidRPr="00E27593">
        <w:rPr>
          <w:rFonts w:ascii="Ping LCG Regular" w:hAnsi="Ping LCG Regular" w:cstheme="minorHAnsi"/>
          <w:b/>
          <w:color w:val="000000"/>
          <w:sz w:val="20"/>
          <w:szCs w:val="20"/>
          <w:lang w:val="el-GR"/>
        </w:rPr>
        <w:t>Ορισμοί και συμφωνία των Εναλλακτικών Δεικτών Μέτρησης Απόδοσης (“ΕΔΜΑ”)</w:t>
      </w:r>
    </w:p>
    <w:p w14:paraId="79FE0F6B" w14:textId="77777777" w:rsidR="005226C8" w:rsidRPr="005226C8" w:rsidRDefault="005226C8" w:rsidP="005226C8">
      <w:pPr>
        <w:autoSpaceDE w:val="0"/>
        <w:autoSpaceDN w:val="0"/>
        <w:adjustRightInd w:val="0"/>
        <w:spacing w:after="160" w:line="276" w:lineRule="auto"/>
        <w:rPr>
          <w:rFonts w:ascii="Ping LCG Regular" w:hAnsi="Ping LCG Regular" w:cstheme="minorHAnsi"/>
          <w:b/>
          <w:color w:val="000000"/>
          <w:sz w:val="20"/>
          <w:szCs w:val="20"/>
          <w:lang w:val="el-GR"/>
        </w:rPr>
      </w:pPr>
      <w:r w:rsidRPr="005226C8">
        <w:rPr>
          <w:rFonts w:ascii="Ping LCG Regular" w:hAnsi="Ping LCG Regular" w:cstheme="minorHAnsi"/>
          <w:b/>
          <w:color w:val="000000"/>
          <w:sz w:val="20"/>
          <w:szCs w:val="20"/>
          <w:lang w:val="el-GR"/>
        </w:rPr>
        <w:t xml:space="preserve">ΕΝΑΛΛΑΚΤΙΚΟΙ ΔΕΙΚΤΕΣ ΜΕΤΡΗΣΗΣ ΑΠΟΔΟΣΗΣ (“ΕΔΜΑ”) </w:t>
      </w:r>
    </w:p>
    <w:p w14:paraId="22A27DE0" w14:textId="77777777" w:rsidR="005226C8" w:rsidRPr="005226C8" w:rsidRDefault="005226C8" w:rsidP="005226C8">
      <w:pPr>
        <w:autoSpaceDE w:val="0"/>
        <w:autoSpaceDN w:val="0"/>
        <w:adjustRightInd w:val="0"/>
        <w:spacing w:after="160" w:line="276" w:lineRule="auto"/>
        <w:jc w:val="both"/>
        <w:rPr>
          <w:rFonts w:ascii="Ping LCG Regular" w:hAnsi="Ping LCG Regular" w:cstheme="minorHAnsi"/>
          <w:color w:val="000000"/>
          <w:sz w:val="20"/>
          <w:szCs w:val="20"/>
          <w:lang w:val="el-GR"/>
        </w:rPr>
      </w:pPr>
      <w:r w:rsidRPr="005226C8">
        <w:rPr>
          <w:rFonts w:ascii="Ping LCG Regular" w:hAnsi="Ping LCG Regular" w:cstheme="minorHAnsi"/>
          <w:color w:val="000000"/>
          <w:sz w:val="20"/>
          <w:szCs w:val="20"/>
          <w:lang w:val="el-GR"/>
        </w:rPr>
        <w:t xml:space="preserve">Ο Όμιλος χρησιμοποιεί Εναλλακτικούς Δείκτες Μέτρησης Απόδοσης (“ΕΔΜΑ”) στα πλαίσια λήψης αποφάσεων σχετικά με τον χρηματοοικονομικό, λειτουργικό και στρατηγικό σχεδιασμό του καθώς και για την αξιολόγηση και την δημοσίευση των επιδόσεών του. Αυτοί οι ΕΔΜΑ εξυπηρετούν στην καλύτερη κατανόηση των χρηματοοικονομικών και λειτουργικών αποτελεσμάτων του Ομίλου, της χρηματοοικονομικής του θέσης καθώς και της κατάστασης ταμειακών ροών. Οι εναλλακτικοί δείκτες (ΕΔΜΑ) θα πρέπει να λαμβάνονται υπόψη πάντα σε συνδυασμό με τα οικονομικά αποτελέσματα που έχουν συνταχθεί σύμφωνα με τα ΔΠΧΑ και σε καμία περίπτωση δεν αντικαθιστούν αυτά. </w:t>
      </w:r>
    </w:p>
    <w:p w14:paraId="4EC3B38B" w14:textId="77777777" w:rsidR="005226C8" w:rsidRPr="005226C8" w:rsidRDefault="005226C8" w:rsidP="005226C8">
      <w:pPr>
        <w:autoSpaceDE w:val="0"/>
        <w:autoSpaceDN w:val="0"/>
        <w:adjustRightInd w:val="0"/>
        <w:spacing w:after="160" w:line="276" w:lineRule="auto"/>
        <w:jc w:val="both"/>
        <w:rPr>
          <w:rFonts w:ascii="Ping LCG Regular" w:hAnsi="Ping LCG Regular" w:cstheme="minorHAnsi"/>
          <w:b/>
          <w:color w:val="000000"/>
          <w:sz w:val="20"/>
          <w:szCs w:val="20"/>
          <w:lang w:val="el-GR"/>
        </w:rPr>
      </w:pPr>
      <w:r w:rsidRPr="005226C8">
        <w:rPr>
          <w:rFonts w:ascii="Ping LCG Regular" w:hAnsi="Ping LCG Regular" w:cstheme="minorHAnsi"/>
          <w:b/>
          <w:color w:val="000000"/>
          <w:sz w:val="20"/>
          <w:szCs w:val="20"/>
          <w:lang w:val="el-GR"/>
        </w:rPr>
        <w:t xml:space="preserve">Εναλλακτικοί Δείκτες Μέτρησης Απόδοσης (“ΕΔΜΑ”) </w:t>
      </w:r>
    </w:p>
    <w:p w14:paraId="44CBCC0A" w14:textId="77777777" w:rsidR="005226C8" w:rsidRPr="005226C8" w:rsidRDefault="005226C8" w:rsidP="005226C8">
      <w:pPr>
        <w:autoSpaceDE w:val="0"/>
        <w:autoSpaceDN w:val="0"/>
        <w:adjustRightInd w:val="0"/>
        <w:spacing w:after="160" w:line="276" w:lineRule="auto"/>
        <w:jc w:val="both"/>
        <w:rPr>
          <w:rFonts w:ascii="Ping LCG Regular" w:hAnsi="Ping LCG Regular" w:cstheme="minorHAnsi"/>
          <w:color w:val="000000"/>
          <w:sz w:val="20"/>
          <w:szCs w:val="20"/>
          <w:lang w:val="el-GR"/>
        </w:rPr>
      </w:pPr>
      <w:r w:rsidRPr="005226C8">
        <w:rPr>
          <w:rFonts w:ascii="Ping LCG Regular" w:hAnsi="Ping LCG Regular" w:cstheme="minorHAnsi"/>
          <w:color w:val="000000"/>
          <w:sz w:val="20"/>
          <w:szCs w:val="20"/>
          <w:lang w:val="el-GR"/>
        </w:rPr>
        <w:t xml:space="preserve">Κατά την περιγραφή των επιδόσεων του Ομίλου χρησιμοποιούνται “Προσαρμοσμένοι” δείκτες όπως: Προσαρμοσμένο </w:t>
      </w:r>
      <w:r w:rsidRPr="005226C8">
        <w:rPr>
          <w:rFonts w:ascii="Ping LCG Regular" w:hAnsi="Ping LCG Regular" w:cstheme="minorHAnsi"/>
          <w:color w:val="000000"/>
          <w:sz w:val="20"/>
          <w:szCs w:val="20"/>
        </w:rPr>
        <w:t>EBITDA</w:t>
      </w:r>
      <w:r w:rsidRPr="005226C8">
        <w:rPr>
          <w:rFonts w:ascii="Ping LCG Regular" w:hAnsi="Ping LCG Regular" w:cstheme="minorHAnsi"/>
          <w:color w:val="000000"/>
          <w:sz w:val="20"/>
          <w:szCs w:val="20"/>
          <w:lang w:val="el-GR"/>
        </w:rPr>
        <w:t xml:space="preserve"> χωρίς ειδικές προσαρμογές, Λειτουργικές δαπάνες προ αποσβέσεων και </w:t>
      </w:r>
      <w:proofErr w:type="spellStart"/>
      <w:r w:rsidRPr="005226C8">
        <w:rPr>
          <w:rFonts w:ascii="Ping LCG Regular" w:hAnsi="Ping LCG Regular" w:cstheme="minorHAnsi"/>
          <w:color w:val="000000"/>
          <w:sz w:val="20"/>
          <w:szCs w:val="20"/>
          <w:lang w:val="el-GR"/>
        </w:rPr>
        <w:t>απομειώσεων</w:t>
      </w:r>
      <w:bookmarkStart w:id="0" w:name="_Hlk198646463"/>
      <w:proofErr w:type="spellEnd"/>
      <w:r w:rsidRPr="005226C8">
        <w:rPr>
          <w:rFonts w:ascii="Ping LCG Regular" w:hAnsi="Ping LCG Regular" w:cstheme="minorHAnsi"/>
          <w:color w:val="000000"/>
          <w:sz w:val="20"/>
          <w:szCs w:val="20"/>
          <w:lang w:val="el-GR"/>
        </w:rPr>
        <w:t xml:space="preserve"> χωρίς ειδικές προσαρμογές</w:t>
      </w:r>
      <w:bookmarkEnd w:id="0"/>
      <w:r w:rsidRPr="005226C8">
        <w:rPr>
          <w:rFonts w:ascii="Ping LCG Regular" w:hAnsi="Ping LCG Regular" w:cstheme="minorHAnsi"/>
          <w:color w:val="000000"/>
          <w:sz w:val="20"/>
          <w:szCs w:val="20"/>
          <w:lang w:val="el-GR"/>
        </w:rPr>
        <w:t>, Προσαρμοσμένα καθαρά κέρδη / (ζημίες) χωρίς ειδικές προσαρμογές και Προσαρμοσμένα καθαρά κέρδη/(ζημίες) μετά από δικαιώματα μειοψηφίας. Οι δείκτες αυτοί υπολογίζονται αφαιρώντας από τους οικονομικούς δείκτες, οι οποίοι έχουν υπολογιστεί από κονδύλια των ετήσιων ή ενδιάμεσων χρηματοοικονομικών καταστάσεων, την επίδραση και τα κόστη που προκύπτουν από γεγονότα τα οποία συνέβησαν κατά την εκάστοτε περίοδο αναφοράς και τα οποία δεν έχουν επηρεάσει τα ποσά των προηγούμενων περιόδων.</w:t>
      </w:r>
    </w:p>
    <w:p w14:paraId="595F6EBA" w14:textId="37C12617" w:rsidR="005226C8" w:rsidRPr="005226C8" w:rsidRDefault="005226C8" w:rsidP="005226C8">
      <w:pPr>
        <w:autoSpaceDE w:val="0"/>
        <w:autoSpaceDN w:val="0"/>
        <w:adjustRightInd w:val="0"/>
        <w:spacing w:after="160" w:line="276" w:lineRule="auto"/>
        <w:jc w:val="both"/>
        <w:rPr>
          <w:rFonts w:ascii="Ping LCG Regular" w:hAnsi="Ping LCG Regular" w:cstheme="minorHAnsi"/>
          <w:b/>
          <w:color w:val="000000"/>
          <w:sz w:val="20"/>
          <w:szCs w:val="20"/>
          <w:lang w:val="el-GR"/>
        </w:rPr>
      </w:pPr>
      <w:r w:rsidRPr="005226C8">
        <w:rPr>
          <w:rFonts w:ascii="Ping LCG Regular" w:hAnsi="Ping LCG Regular" w:cstheme="minorHAnsi"/>
          <w:b/>
          <w:color w:val="000000"/>
          <w:sz w:val="20"/>
          <w:szCs w:val="20"/>
        </w:rPr>
        <w:t>EBITDA</w:t>
      </w:r>
      <w:r w:rsidRPr="005226C8">
        <w:rPr>
          <w:rFonts w:ascii="Ping LCG Regular" w:hAnsi="Ping LCG Regular" w:cstheme="minorHAnsi"/>
          <w:b/>
          <w:color w:val="000000"/>
          <w:sz w:val="20"/>
          <w:szCs w:val="20"/>
          <w:lang w:val="el-GR"/>
        </w:rPr>
        <w:t xml:space="preserve"> (Δείκτης λειτουργικών κερδών πριν από αποσβέσεις και </w:t>
      </w:r>
      <w:proofErr w:type="spellStart"/>
      <w:r w:rsidRPr="005226C8">
        <w:rPr>
          <w:rFonts w:ascii="Ping LCG Regular" w:hAnsi="Ping LCG Regular" w:cstheme="minorHAnsi"/>
          <w:b/>
          <w:color w:val="000000"/>
          <w:sz w:val="20"/>
          <w:szCs w:val="20"/>
          <w:lang w:val="el-GR"/>
        </w:rPr>
        <w:t>απομειώσεις</w:t>
      </w:r>
      <w:proofErr w:type="spellEnd"/>
      <w:r w:rsidRPr="005226C8">
        <w:rPr>
          <w:rFonts w:ascii="Ping LCG Regular" w:hAnsi="Ping LCG Regular" w:cstheme="minorHAnsi"/>
          <w:b/>
          <w:color w:val="000000"/>
          <w:sz w:val="20"/>
          <w:szCs w:val="20"/>
          <w:lang w:val="el-GR"/>
        </w:rPr>
        <w:t xml:space="preserve">, καθαρές χρηματοοικονομικές δαπάνες </w:t>
      </w:r>
      <w:r w:rsidR="00A73CBB" w:rsidRPr="005226C8">
        <w:rPr>
          <w:rFonts w:ascii="Ping LCG Regular" w:hAnsi="Ping LCG Regular" w:cstheme="minorHAnsi"/>
          <w:b/>
          <w:color w:val="000000"/>
          <w:sz w:val="20"/>
          <w:szCs w:val="20"/>
          <w:lang w:val="el-GR"/>
        </w:rPr>
        <w:t>και φόρους</w:t>
      </w:r>
      <w:r w:rsidRPr="005226C8">
        <w:rPr>
          <w:rFonts w:ascii="Ping LCG Regular" w:hAnsi="Ping LCG Regular" w:cstheme="minorHAnsi"/>
          <w:b/>
          <w:color w:val="000000"/>
          <w:sz w:val="20"/>
          <w:szCs w:val="20"/>
          <w:lang w:val="el-GR"/>
        </w:rPr>
        <w:t xml:space="preserve">) </w:t>
      </w:r>
    </w:p>
    <w:p w14:paraId="3D27C045" w14:textId="77777777" w:rsidR="005226C8" w:rsidRPr="005226C8" w:rsidRDefault="005226C8" w:rsidP="005226C8">
      <w:pPr>
        <w:autoSpaceDE w:val="0"/>
        <w:autoSpaceDN w:val="0"/>
        <w:adjustRightInd w:val="0"/>
        <w:spacing w:after="160" w:line="276" w:lineRule="auto"/>
        <w:jc w:val="both"/>
        <w:rPr>
          <w:rFonts w:ascii="Ping LCG Regular" w:hAnsi="Ping LCG Regular" w:cstheme="minorHAnsi"/>
          <w:color w:val="000000"/>
          <w:sz w:val="20"/>
          <w:szCs w:val="20"/>
          <w:lang w:val="el-GR"/>
        </w:rPr>
      </w:pPr>
      <w:r w:rsidRPr="005226C8">
        <w:rPr>
          <w:rFonts w:ascii="Ping LCG Regular" w:hAnsi="Ping LCG Regular" w:cstheme="minorHAnsi"/>
          <w:color w:val="000000"/>
          <w:sz w:val="20"/>
          <w:szCs w:val="20"/>
          <w:lang w:val="el-GR"/>
        </w:rPr>
        <w:t xml:space="preserve">Ο δείκτης </w:t>
      </w:r>
      <w:r w:rsidRPr="005425AD">
        <w:rPr>
          <w:rFonts w:ascii="Ping LCG Regular" w:hAnsi="Ping LCG Regular" w:cstheme="minorHAnsi"/>
          <w:color w:val="000000"/>
          <w:sz w:val="20"/>
          <w:szCs w:val="20"/>
          <w:lang w:val="el-GR"/>
        </w:rPr>
        <w:t>EBITDA</w:t>
      </w:r>
      <w:r w:rsidRPr="005226C8">
        <w:rPr>
          <w:rFonts w:ascii="Ping LCG Regular" w:hAnsi="Ping LCG Regular" w:cstheme="minorHAnsi"/>
          <w:color w:val="000000"/>
          <w:sz w:val="20"/>
          <w:szCs w:val="20"/>
          <w:lang w:val="el-GR"/>
        </w:rPr>
        <w:t xml:space="preserve"> εξυπηρετεί στην καλύτερη ανάλυση των λειτουργικών αποτελεσμάτων του Ομίλου και υπολογίζεται ως εξής: Σύνολο κύκλου εργασιών μείον το σύνολο των λειτουργικών εξόδων πριν από αποσβέσεις και </w:t>
      </w:r>
      <w:proofErr w:type="spellStart"/>
      <w:r w:rsidRPr="005226C8">
        <w:rPr>
          <w:rFonts w:ascii="Ping LCG Regular" w:hAnsi="Ping LCG Regular" w:cstheme="minorHAnsi"/>
          <w:color w:val="000000"/>
          <w:sz w:val="20"/>
          <w:szCs w:val="20"/>
          <w:lang w:val="el-GR"/>
        </w:rPr>
        <w:t>απομειώσεις</w:t>
      </w:r>
      <w:proofErr w:type="spellEnd"/>
      <w:r w:rsidRPr="005226C8">
        <w:rPr>
          <w:rFonts w:ascii="Ping LCG Regular" w:hAnsi="Ping LCG Regular" w:cstheme="minorHAnsi"/>
          <w:color w:val="000000"/>
          <w:sz w:val="20"/>
          <w:szCs w:val="20"/>
          <w:lang w:val="el-GR"/>
        </w:rPr>
        <w:t>. Οι υπολογισμοί παρουσιάζονται στον Πίνακα Α.</w:t>
      </w:r>
    </w:p>
    <w:p w14:paraId="3907E3B8" w14:textId="77777777" w:rsidR="005226C8" w:rsidRPr="005226C8" w:rsidRDefault="005226C8" w:rsidP="005226C8">
      <w:pPr>
        <w:autoSpaceDE w:val="0"/>
        <w:autoSpaceDN w:val="0"/>
        <w:adjustRightInd w:val="0"/>
        <w:spacing w:after="160" w:line="276" w:lineRule="auto"/>
        <w:jc w:val="both"/>
        <w:rPr>
          <w:rFonts w:ascii="Ping LCG Regular" w:hAnsi="Ping LCG Regular" w:cstheme="minorHAnsi"/>
          <w:b/>
          <w:color w:val="000000"/>
          <w:sz w:val="20"/>
          <w:szCs w:val="20"/>
          <w:lang w:val="el-GR"/>
        </w:rPr>
      </w:pPr>
      <w:r w:rsidRPr="005226C8">
        <w:rPr>
          <w:rFonts w:ascii="Ping LCG Regular" w:hAnsi="Ping LCG Regular" w:cstheme="minorHAnsi"/>
          <w:b/>
          <w:color w:val="000000"/>
          <w:sz w:val="20"/>
          <w:szCs w:val="20"/>
          <w:lang w:val="el-GR"/>
        </w:rPr>
        <w:t xml:space="preserve">Λειτουργικές δαπάνες προ αποσβέσεων και </w:t>
      </w:r>
      <w:proofErr w:type="spellStart"/>
      <w:r w:rsidRPr="005226C8">
        <w:rPr>
          <w:rFonts w:ascii="Ping LCG Regular" w:hAnsi="Ping LCG Regular" w:cstheme="minorHAnsi"/>
          <w:b/>
          <w:color w:val="000000"/>
          <w:sz w:val="20"/>
          <w:szCs w:val="20"/>
          <w:lang w:val="el-GR"/>
        </w:rPr>
        <w:t>απομειώσεων</w:t>
      </w:r>
      <w:proofErr w:type="spellEnd"/>
      <w:r w:rsidRPr="005226C8">
        <w:rPr>
          <w:rFonts w:ascii="Ping LCG Regular" w:hAnsi="Ping LCG Regular" w:cstheme="minorHAnsi"/>
          <w:b/>
          <w:color w:val="000000"/>
          <w:sz w:val="20"/>
          <w:szCs w:val="20"/>
          <w:lang w:val="el-GR"/>
        </w:rPr>
        <w:t xml:space="preserve"> χωρίς ειδικές προσαρμογές</w:t>
      </w:r>
    </w:p>
    <w:p w14:paraId="7EB7DCB6" w14:textId="77777777" w:rsidR="005226C8" w:rsidRPr="005226C8" w:rsidRDefault="005226C8" w:rsidP="005226C8">
      <w:pPr>
        <w:autoSpaceDE w:val="0"/>
        <w:autoSpaceDN w:val="0"/>
        <w:adjustRightInd w:val="0"/>
        <w:spacing w:after="160" w:line="276" w:lineRule="auto"/>
        <w:jc w:val="both"/>
        <w:rPr>
          <w:rFonts w:ascii="Ping LCG Regular" w:hAnsi="Ping LCG Regular" w:cstheme="minorHAnsi"/>
          <w:color w:val="000000"/>
          <w:sz w:val="20"/>
          <w:szCs w:val="20"/>
          <w:lang w:val="el-GR"/>
        </w:rPr>
      </w:pPr>
      <w:r w:rsidRPr="005226C8">
        <w:rPr>
          <w:rFonts w:ascii="Ping LCG Regular" w:hAnsi="Ping LCG Regular" w:cstheme="minorHAnsi"/>
          <w:color w:val="000000"/>
          <w:sz w:val="20"/>
          <w:szCs w:val="20"/>
          <w:lang w:val="el-GR"/>
        </w:rPr>
        <w:t xml:space="preserve">Ο δείκτης αυτός προκύπτει αν από τη γραμμή «Λειτουργικές δαπάνες προ αποσβέσεων και </w:t>
      </w:r>
      <w:proofErr w:type="spellStart"/>
      <w:r w:rsidRPr="005226C8">
        <w:rPr>
          <w:rFonts w:ascii="Ping LCG Regular" w:hAnsi="Ping LCG Regular" w:cstheme="minorHAnsi"/>
          <w:color w:val="000000"/>
          <w:sz w:val="20"/>
          <w:szCs w:val="20"/>
          <w:lang w:val="el-GR"/>
        </w:rPr>
        <w:t>απομειώσεων</w:t>
      </w:r>
      <w:proofErr w:type="spellEnd"/>
      <w:r w:rsidRPr="005226C8">
        <w:rPr>
          <w:rFonts w:ascii="Ping LCG Regular" w:hAnsi="Ping LCG Regular" w:cstheme="minorHAnsi"/>
          <w:color w:val="000000"/>
          <w:sz w:val="20"/>
          <w:szCs w:val="20"/>
          <w:lang w:val="el-GR"/>
        </w:rPr>
        <w:t xml:space="preserve">» του πίνακα του </w:t>
      </w:r>
      <w:r w:rsidRPr="005425AD">
        <w:rPr>
          <w:rFonts w:ascii="Ping LCG Regular" w:hAnsi="Ping LCG Regular" w:cstheme="minorHAnsi"/>
          <w:color w:val="000000"/>
          <w:sz w:val="20"/>
          <w:szCs w:val="20"/>
          <w:lang w:val="el-GR"/>
        </w:rPr>
        <w:t>EBITDA</w:t>
      </w:r>
      <w:r w:rsidRPr="005226C8">
        <w:rPr>
          <w:rFonts w:ascii="Ping LCG Regular" w:hAnsi="Ping LCG Regular" w:cstheme="minorHAnsi"/>
          <w:color w:val="000000"/>
          <w:sz w:val="20"/>
          <w:szCs w:val="20"/>
          <w:lang w:val="el-GR"/>
        </w:rPr>
        <w:t xml:space="preserve"> όπως παρουσιάζεται ανωτέρω, αφαιρεθούν οι ειδικές προσαρμογές που αναφέρονται στη σημείωση του Προσαρμοσμένου </w:t>
      </w:r>
      <w:r w:rsidRPr="005425AD">
        <w:rPr>
          <w:rFonts w:ascii="Ping LCG Regular" w:hAnsi="Ping LCG Regular" w:cstheme="minorHAnsi"/>
          <w:color w:val="000000"/>
          <w:sz w:val="20"/>
          <w:szCs w:val="20"/>
          <w:lang w:val="el-GR"/>
        </w:rPr>
        <w:t>EBITDA</w:t>
      </w:r>
      <w:r w:rsidRPr="005226C8">
        <w:rPr>
          <w:rFonts w:ascii="Ping LCG Regular" w:hAnsi="Ping LCG Regular" w:cstheme="minorHAnsi"/>
          <w:color w:val="000000"/>
          <w:sz w:val="20"/>
          <w:szCs w:val="20"/>
          <w:lang w:val="el-GR"/>
        </w:rPr>
        <w:t xml:space="preserve"> κατωτέρω. Ο δείκτης παρουσιάζεται στον Πίνακα Β.</w:t>
      </w:r>
    </w:p>
    <w:p w14:paraId="6E9B2E45" w14:textId="77777777" w:rsidR="005226C8" w:rsidRPr="005226C8" w:rsidRDefault="005226C8" w:rsidP="005226C8">
      <w:pPr>
        <w:autoSpaceDE w:val="0"/>
        <w:autoSpaceDN w:val="0"/>
        <w:adjustRightInd w:val="0"/>
        <w:spacing w:after="160" w:line="276" w:lineRule="auto"/>
        <w:jc w:val="both"/>
        <w:rPr>
          <w:rFonts w:ascii="Ping LCG Regular" w:hAnsi="Ping LCG Regular" w:cstheme="minorHAnsi"/>
          <w:b/>
          <w:color w:val="000000"/>
          <w:sz w:val="20"/>
          <w:szCs w:val="20"/>
          <w:lang w:val="el-GR"/>
        </w:rPr>
      </w:pPr>
      <w:r w:rsidRPr="005226C8">
        <w:rPr>
          <w:rFonts w:ascii="Ping LCG Regular" w:hAnsi="Ping LCG Regular" w:cstheme="minorHAnsi"/>
          <w:b/>
          <w:bCs/>
          <w:color w:val="000000"/>
          <w:sz w:val="20"/>
          <w:szCs w:val="20"/>
          <w:lang w:val="el-GR"/>
        </w:rPr>
        <w:t xml:space="preserve">Προσαρμοσμένο </w:t>
      </w:r>
      <w:r w:rsidRPr="005226C8">
        <w:rPr>
          <w:rFonts w:ascii="Ping LCG Regular" w:hAnsi="Ping LCG Regular" w:cstheme="minorHAnsi"/>
          <w:b/>
          <w:bCs/>
          <w:color w:val="000000"/>
          <w:sz w:val="20"/>
          <w:szCs w:val="20"/>
        </w:rPr>
        <w:t>EBITDA</w:t>
      </w:r>
      <w:r w:rsidRPr="005226C8">
        <w:rPr>
          <w:rFonts w:ascii="Ping LCG Regular" w:hAnsi="Ping LCG Regular" w:cstheme="minorHAnsi"/>
          <w:b/>
          <w:color w:val="000000"/>
          <w:sz w:val="20"/>
          <w:szCs w:val="20"/>
          <w:lang w:val="el-GR"/>
        </w:rPr>
        <w:t xml:space="preserve"> (Δείκτης λειτουργικών κερδών πριν από αποσβέσεις και </w:t>
      </w:r>
      <w:proofErr w:type="spellStart"/>
      <w:r w:rsidRPr="005226C8">
        <w:rPr>
          <w:rFonts w:ascii="Ping LCG Regular" w:hAnsi="Ping LCG Regular" w:cstheme="minorHAnsi"/>
          <w:b/>
          <w:color w:val="000000"/>
          <w:sz w:val="20"/>
          <w:szCs w:val="20"/>
          <w:lang w:val="el-GR"/>
        </w:rPr>
        <w:t>απομειώσεις</w:t>
      </w:r>
      <w:proofErr w:type="spellEnd"/>
      <w:r w:rsidRPr="005226C8">
        <w:rPr>
          <w:rFonts w:ascii="Ping LCG Regular" w:hAnsi="Ping LCG Regular" w:cstheme="minorHAnsi"/>
          <w:b/>
          <w:color w:val="000000"/>
          <w:sz w:val="20"/>
          <w:szCs w:val="20"/>
          <w:lang w:val="el-GR"/>
        </w:rPr>
        <w:t xml:space="preserve">, καθαρές χρηματοοικονομικές δαπάνες και  φόρους) </w:t>
      </w:r>
    </w:p>
    <w:p w14:paraId="524B0C85" w14:textId="77777777" w:rsidR="005226C8" w:rsidRPr="005425AD" w:rsidRDefault="005226C8" w:rsidP="005226C8">
      <w:pPr>
        <w:autoSpaceDE w:val="0"/>
        <w:autoSpaceDN w:val="0"/>
        <w:adjustRightInd w:val="0"/>
        <w:spacing w:after="160" w:line="276" w:lineRule="auto"/>
        <w:jc w:val="both"/>
        <w:rPr>
          <w:rFonts w:ascii="Ping LCG Regular" w:hAnsi="Ping LCG Regular" w:cstheme="minorHAnsi"/>
          <w:color w:val="000000"/>
          <w:sz w:val="20"/>
          <w:szCs w:val="20"/>
          <w:lang w:val="el-GR"/>
        </w:rPr>
      </w:pPr>
      <w:r w:rsidRPr="005226C8">
        <w:rPr>
          <w:rFonts w:ascii="Ping LCG Regular" w:hAnsi="Ping LCG Regular" w:cstheme="minorHAnsi"/>
          <w:color w:val="000000"/>
          <w:sz w:val="20"/>
          <w:szCs w:val="20"/>
          <w:lang w:val="el-GR"/>
        </w:rPr>
        <w:t xml:space="preserve">Το Προσαρμοσμένο </w:t>
      </w:r>
      <w:r w:rsidRPr="005425AD">
        <w:rPr>
          <w:rFonts w:ascii="Ping LCG Regular" w:hAnsi="Ping LCG Regular" w:cstheme="minorHAnsi"/>
          <w:color w:val="000000"/>
          <w:sz w:val="20"/>
          <w:szCs w:val="20"/>
          <w:lang w:val="el-GR"/>
        </w:rPr>
        <w:t>EBITD</w:t>
      </w:r>
      <w:r w:rsidRPr="005226C8">
        <w:rPr>
          <w:rFonts w:ascii="Ping LCG Regular" w:hAnsi="Ping LCG Regular" w:cstheme="minorHAnsi"/>
          <w:color w:val="000000"/>
          <w:sz w:val="20"/>
          <w:szCs w:val="20"/>
          <w:lang w:val="el-GR"/>
        </w:rPr>
        <w:t xml:space="preserve">Α εξυπηρετεί στην καλύτερη ανάλυση των λειτουργικών αποτελεσμάτων του Ομίλου, εξαιρουμένης της επίδρασης των ειδικών προσαρμογών. Για την εξάμηνη περίοδο που έληξε την 30η Ιουνίου 2024 η ειδική προσαρμογή που επηρέασε το Προσαρμοσμένο </w:t>
      </w:r>
      <w:r w:rsidRPr="005425AD">
        <w:rPr>
          <w:rFonts w:ascii="Ping LCG Regular" w:hAnsi="Ping LCG Regular" w:cstheme="minorHAnsi"/>
          <w:color w:val="000000"/>
          <w:sz w:val="20"/>
          <w:szCs w:val="20"/>
          <w:lang w:val="el-GR"/>
        </w:rPr>
        <w:t>EBITDA</w:t>
      </w:r>
      <w:r w:rsidRPr="005226C8">
        <w:rPr>
          <w:rFonts w:ascii="Ping LCG Regular" w:hAnsi="Ping LCG Regular" w:cstheme="minorHAnsi"/>
          <w:color w:val="000000"/>
          <w:sz w:val="20"/>
          <w:szCs w:val="20"/>
          <w:lang w:val="el-GR"/>
        </w:rPr>
        <w:t xml:space="preserve"> είναι η αποτίμηση συμβάσεων αγοραπωλησίας ηλεκτρικής ενέργειας ποσού € 48 εκατ. (αρνητική επίπτωση) για τον Όμιλο. Για την εξάμηνη περίοδο που έληξε την 30</w:t>
      </w:r>
      <w:r w:rsidRPr="005425AD">
        <w:rPr>
          <w:rFonts w:ascii="Ping LCG Regular" w:hAnsi="Ping LCG Regular" w:cstheme="minorHAnsi"/>
          <w:color w:val="000000"/>
          <w:sz w:val="20"/>
          <w:szCs w:val="20"/>
          <w:lang w:val="el-GR"/>
        </w:rPr>
        <w:t>η</w:t>
      </w:r>
      <w:r w:rsidRPr="005226C8">
        <w:rPr>
          <w:rFonts w:ascii="Ping LCG Regular" w:hAnsi="Ping LCG Regular" w:cstheme="minorHAnsi"/>
          <w:color w:val="000000"/>
          <w:sz w:val="20"/>
          <w:szCs w:val="20"/>
          <w:lang w:val="el-GR"/>
        </w:rPr>
        <w:t xml:space="preserve"> Ιουνίου 2025, οι ειδικές προσαρμογές που επηρέασαν το Προσαρμοσμένο </w:t>
      </w:r>
      <w:r w:rsidRPr="005425AD">
        <w:rPr>
          <w:rFonts w:ascii="Ping LCG Regular" w:hAnsi="Ping LCG Regular" w:cstheme="minorHAnsi"/>
          <w:color w:val="000000"/>
          <w:sz w:val="20"/>
          <w:szCs w:val="20"/>
          <w:lang w:val="el-GR"/>
        </w:rPr>
        <w:t>EBITDA</w:t>
      </w:r>
      <w:r w:rsidRPr="005226C8">
        <w:rPr>
          <w:rFonts w:ascii="Ping LCG Regular" w:hAnsi="Ping LCG Regular" w:cstheme="minorHAnsi"/>
          <w:color w:val="000000"/>
          <w:sz w:val="20"/>
          <w:szCs w:val="20"/>
          <w:lang w:val="el-GR"/>
        </w:rPr>
        <w:t xml:space="preserve"> είναι οι ακόλουθες: α) πρόβλεψη για αποζημίωση κινήτρου αποχώρησης προσωπικού λόγω εξόδου από την υπηρεσία ποσού ύψους € 23 εκατ. για τον Όμιλο (αρνητική επίπτωση) </w:t>
      </w:r>
      <w:r w:rsidRPr="005226C8">
        <w:rPr>
          <w:rFonts w:ascii="Ping LCG Regular" w:hAnsi="Ping LCG Regular" w:cstheme="minorHAnsi"/>
          <w:color w:val="000000"/>
          <w:sz w:val="20"/>
          <w:szCs w:val="20"/>
          <w:lang w:val="el-GR"/>
        </w:rPr>
        <w:lastRenderedPageBreak/>
        <w:t xml:space="preserve">και β) αποτίμηση συμβάσεων αγοραπωλησίας ηλεκτρικής ενέργειας ύψους €27 εκατ. για τον Όμιλο (θετική επίπτωση). </w:t>
      </w:r>
      <w:r w:rsidRPr="005425AD">
        <w:rPr>
          <w:rFonts w:ascii="Ping LCG Regular" w:hAnsi="Ping LCG Regular" w:cstheme="minorHAnsi"/>
          <w:color w:val="000000"/>
          <w:sz w:val="20"/>
          <w:szCs w:val="20"/>
          <w:lang w:val="el-GR"/>
        </w:rPr>
        <w:t>Ο υπολογισμός του Προσαρμοσμένου EBITDA παρουσιάζεται στον Πίνακα Γ.</w:t>
      </w:r>
    </w:p>
    <w:p w14:paraId="50969CE8" w14:textId="77777777" w:rsidR="00606579" w:rsidRPr="003B4EB4" w:rsidRDefault="00606579" w:rsidP="00606579">
      <w:pPr>
        <w:autoSpaceDE w:val="0"/>
        <w:autoSpaceDN w:val="0"/>
        <w:adjustRightInd w:val="0"/>
        <w:jc w:val="both"/>
        <w:rPr>
          <w:rFonts w:ascii="Ping LCG Regular" w:eastAsia="Calibri" w:hAnsi="Ping LCG Regular" w:cs="Calibri"/>
          <w:b/>
          <w:color w:val="000000"/>
          <w:sz w:val="20"/>
          <w:szCs w:val="20"/>
          <w:lang w:val="el-GR"/>
        </w:rPr>
      </w:pPr>
    </w:p>
    <w:p w14:paraId="3D0E6000" w14:textId="77777777" w:rsidR="00606579" w:rsidRPr="003B4EB4" w:rsidRDefault="00606579" w:rsidP="00606579">
      <w:pPr>
        <w:autoSpaceDE w:val="0"/>
        <w:autoSpaceDN w:val="0"/>
        <w:adjustRightInd w:val="0"/>
        <w:jc w:val="both"/>
        <w:rPr>
          <w:rFonts w:ascii="Ping LCG Regular" w:eastAsia="Calibri" w:hAnsi="Ping LCG Regular" w:cs="Calibri"/>
          <w:b/>
          <w:bCs/>
          <w:color w:val="000000"/>
          <w:sz w:val="20"/>
          <w:szCs w:val="20"/>
          <w:lang w:val="el-GR"/>
        </w:rPr>
      </w:pPr>
      <w:r w:rsidRPr="003B4EB4">
        <w:rPr>
          <w:rFonts w:ascii="Ping LCG Regular" w:eastAsia="Calibri" w:hAnsi="Ping LCG Regular" w:cs="Calibri"/>
          <w:b/>
          <w:bCs/>
          <w:color w:val="000000"/>
          <w:sz w:val="20"/>
          <w:szCs w:val="20"/>
          <w:lang w:val="el-GR"/>
        </w:rPr>
        <w:t xml:space="preserve">Προσαρμοσμένα καθαρά κέρδη/(ζημίες)  </w:t>
      </w:r>
    </w:p>
    <w:p w14:paraId="6B85B32B" w14:textId="77777777" w:rsidR="00606579" w:rsidRPr="00805ED4" w:rsidRDefault="00606579" w:rsidP="00606579">
      <w:pPr>
        <w:autoSpaceDE w:val="0"/>
        <w:autoSpaceDN w:val="0"/>
        <w:adjustRightInd w:val="0"/>
        <w:rPr>
          <w:rFonts w:ascii="Ping LCG Regular" w:eastAsia="Calibri" w:hAnsi="Ping LCG Regular" w:cs="Calibri"/>
          <w:b/>
          <w:color w:val="000000"/>
          <w:sz w:val="20"/>
          <w:szCs w:val="20"/>
          <w:lang w:val="el-GR"/>
        </w:rPr>
      </w:pPr>
    </w:p>
    <w:p w14:paraId="5CD2F6D2" w14:textId="77777777" w:rsidR="00805ED4" w:rsidRPr="005425AD" w:rsidRDefault="00805ED4" w:rsidP="005425AD">
      <w:pPr>
        <w:autoSpaceDE w:val="0"/>
        <w:autoSpaceDN w:val="0"/>
        <w:adjustRightInd w:val="0"/>
        <w:spacing w:after="160" w:line="276" w:lineRule="auto"/>
        <w:jc w:val="both"/>
        <w:rPr>
          <w:rFonts w:ascii="Ping LCG Regular" w:hAnsi="Ping LCG Regular" w:cstheme="minorHAnsi"/>
          <w:color w:val="000000"/>
          <w:sz w:val="20"/>
          <w:szCs w:val="20"/>
          <w:lang w:val="el-GR"/>
        </w:rPr>
      </w:pPr>
      <w:r w:rsidRPr="005425AD">
        <w:rPr>
          <w:rFonts w:ascii="Ping LCG Regular" w:hAnsi="Ping LCG Regular" w:cstheme="minorHAnsi"/>
          <w:color w:val="000000"/>
          <w:sz w:val="20"/>
          <w:szCs w:val="20"/>
          <w:lang w:val="el-GR"/>
        </w:rPr>
        <w:t xml:space="preserve">Ο δείκτης αυτός εξυπηρετεί στην καλύτερη ανάλυση των αποτελεσμάτων του Ομίλου, εξαιρουμένης της επίδρασης των ειδικών προσαρμογών και του υπολογισμένου φόρου επί αυτών. Για την εξάμηνη περίοδο που έληξε την 30η Ιουνίου 2024 και 30η Ιουνίου 2025 για τον Όμιλο, έχουν επιπρόσθετα εξαιρεθεί οι Προβλέψεις από </w:t>
      </w:r>
      <w:proofErr w:type="spellStart"/>
      <w:r w:rsidRPr="005425AD">
        <w:rPr>
          <w:rFonts w:ascii="Ping LCG Regular" w:hAnsi="Ping LCG Regular" w:cstheme="minorHAnsi"/>
          <w:color w:val="000000"/>
          <w:sz w:val="20"/>
          <w:szCs w:val="20"/>
          <w:lang w:val="el-GR"/>
        </w:rPr>
        <w:t>υποαξίες</w:t>
      </w:r>
      <w:proofErr w:type="spellEnd"/>
      <w:r w:rsidRPr="005425AD">
        <w:rPr>
          <w:rFonts w:ascii="Ping LCG Regular" w:hAnsi="Ping LCG Regular" w:cstheme="minorHAnsi"/>
          <w:color w:val="000000"/>
          <w:sz w:val="20"/>
          <w:szCs w:val="20"/>
          <w:lang w:val="el-GR"/>
        </w:rPr>
        <w:t xml:space="preserve"> περιουσιακών στοιχείων και ο φόρος επί αυτών, ενώ για την εξάμηνη περίοδο που έληξε την 30η Ιουνίου 2025 για τον Όμιλο, έχουν επιπρόσθετα εξαιρεθεί οι Αποσβέσεις από αναπροσαρμογή παγίων περιουσιακών στοιχείων, οι Συναλλαγματικές διαφορές αποτίμησης δανείων, το Κέρδος από επανεκτίμηση συμμετοχής σε συγγενείς, η </w:t>
      </w:r>
      <w:proofErr w:type="spellStart"/>
      <w:r w:rsidRPr="005425AD">
        <w:rPr>
          <w:rFonts w:ascii="Ping LCG Regular" w:hAnsi="Ping LCG Regular" w:cstheme="minorHAnsi"/>
          <w:color w:val="000000"/>
          <w:sz w:val="20"/>
          <w:szCs w:val="20"/>
          <w:lang w:val="el-GR"/>
        </w:rPr>
        <w:t>Υποαξία</w:t>
      </w:r>
      <w:proofErr w:type="spellEnd"/>
      <w:r w:rsidRPr="005425AD">
        <w:rPr>
          <w:rFonts w:ascii="Ping LCG Regular" w:hAnsi="Ping LCG Regular" w:cstheme="minorHAnsi"/>
          <w:color w:val="000000"/>
          <w:sz w:val="20"/>
          <w:szCs w:val="20"/>
          <w:lang w:val="el-GR"/>
        </w:rPr>
        <w:t xml:space="preserve"> εξαγοράς θυγατρικών και ο φόρος επί όλων αυτών. Οι υπολογισμοί παρουσιάζονται στον Πίνακα Δ.</w:t>
      </w:r>
    </w:p>
    <w:p w14:paraId="7FF5617C" w14:textId="77777777" w:rsidR="00606579" w:rsidRPr="003B4EB4" w:rsidRDefault="00606579" w:rsidP="00606579">
      <w:pPr>
        <w:autoSpaceDE w:val="0"/>
        <w:autoSpaceDN w:val="0"/>
        <w:adjustRightInd w:val="0"/>
        <w:rPr>
          <w:rFonts w:ascii="Ping LCG Regular" w:eastAsia="Calibri" w:hAnsi="Ping LCG Regular" w:cs="Calibri"/>
          <w:b/>
          <w:color w:val="000000"/>
          <w:sz w:val="20"/>
          <w:szCs w:val="20"/>
          <w:lang w:val="el-GR"/>
        </w:rPr>
      </w:pPr>
    </w:p>
    <w:p w14:paraId="03A9D2A1" w14:textId="77777777" w:rsidR="00606579" w:rsidRPr="003B4EB4" w:rsidRDefault="00606579" w:rsidP="00606579">
      <w:pPr>
        <w:autoSpaceDE w:val="0"/>
        <w:autoSpaceDN w:val="0"/>
        <w:adjustRightInd w:val="0"/>
        <w:jc w:val="both"/>
        <w:rPr>
          <w:rFonts w:ascii="Ping LCG Regular" w:eastAsia="Calibri" w:hAnsi="Ping LCG Regular" w:cs="Calibri"/>
          <w:b/>
          <w:bCs/>
          <w:color w:val="000000"/>
          <w:sz w:val="20"/>
          <w:szCs w:val="20"/>
          <w:lang w:val="el-GR"/>
        </w:rPr>
      </w:pPr>
      <w:r w:rsidRPr="003B4EB4">
        <w:rPr>
          <w:rFonts w:ascii="Ping LCG Regular" w:eastAsia="Calibri" w:hAnsi="Ping LCG Regular" w:cs="Calibri"/>
          <w:b/>
          <w:bCs/>
          <w:color w:val="000000"/>
          <w:sz w:val="20"/>
          <w:szCs w:val="20"/>
          <w:lang w:val="el-GR"/>
        </w:rPr>
        <w:t xml:space="preserve">Προσαρμοσμένα καθαρά κέρδη/(ζημίες) μετά από δικαιώματα μειοψηφίας </w:t>
      </w:r>
    </w:p>
    <w:p w14:paraId="2502295B" w14:textId="77777777" w:rsidR="00606579" w:rsidRPr="003B4EB4" w:rsidRDefault="00606579" w:rsidP="00606579">
      <w:pPr>
        <w:autoSpaceDE w:val="0"/>
        <w:autoSpaceDN w:val="0"/>
        <w:adjustRightInd w:val="0"/>
        <w:jc w:val="both"/>
        <w:rPr>
          <w:rFonts w:ascii="Ping LCG Regular" w:eastAsia="Calibri" w:hAnsi="Ping LCG Regular" w:cs="Calibri"/>
          <w:bCs/>
          <w:color w:val="000000"/>
          <w:sz w:val="20"/>
          <w:szCs w:val="20"/>
          <w:lang w:val="el-GR"/>
        </w:rPr>
      </w:pPr>
    </w:p>
    <w:p w14:paraId="260E4593" w14:textId="77777777" w:rsidR="004D5AAB" w:rsidRPr="005425AD" w:rsidRDefault="004D5AAB" w:rsidP="005425AD">
      <w:pPr>
        <w:autoSpaceDE w:val="0"/>
        <w:autoSpaceDN w:val="0"/>
        <w:adjustRightInd w:val="0"/>
        <w:spacing w:after="160" w:line="276" w:lineRule="auto"/>
        <w:jc w:val="both"/>
        <w:rPr>
          <w:rFonts w:ascii="Ping LCG Regular" w:hAnsi="Ping LCG Regular" w:cstheme="minorHAnsi"/>
          <w:color w:val="000000"/>
          <w:sz w:val="20"/>
          <w:szCs w:val="20"/>
          <w:lang w:val="el-GR"/>
        </w:rPr>
      </w:pPr>
      <w:r w:rsidRPr="005425AD">
        <w:rPr>
          <w:rFonts w:ascii="Ping LCG Regular" w:hAnsi="Ping LCG Regular" w:cstheme="minorHAnsi"/>
          <w:color w:val="000000"/>
          <w:sz w:val="20"/>
          <w:szCs w:val="20"/>
          <w:lang w:val="el-GR"/>
        </w:rPr>
        <w:t xml:space="preserve">Τα </w:t>
      </w:r>
      <w:r w:rsidRPr="004D5AAB">
        <w:rPr>
          <w:rFonts w:ascii="Ping LCG Regular" w:hAnsi="Ping LCG Regular" w:cstheme="minorHAnsi"/>
          <w:color w:val="000000"/>
          <w:sz w:val="20"/>
          <w:szCs w:val="20"/>
          <w:lang w:val="el-GR"/>
        </w:rPr>
        <w:t>Προσαρμοσμένα</w:t>
      </w:r>
      <w:r w:rsidRPr="005425AD">
        <w:rPr>
          <w:rFonts w:ascii="Ping LCG Regular" w:hAnsi="Ping LCG Regular" w:cstheme="minorHAnsi"/>
          <w:color w:val="000000"/>
          <w:sz w:val="20"/>
          <w:szCs w:val="20"/>
          <w:lang w:val="el-GR"/>
        </w:rPr>
        <w:t xml:space="preserve"> καθαρά κέρδη/(ζημίες) μετά από δικαιώματα μειοψηφίας εξυπηρετούν στην καλύτερη ανάλυση των αποτελεσμάτων του Ομίλου, εξαιρουμένης της επίδρασης των δικαιωμάτων μειοψηφίας, και των δικαιωμάτων μειοψηφίας επί των ειδικών προσαρμογών. Οι ειδικές προσαρμογές που επηρέασαν τα Προσαρμοσμένα καθαρά κέρδη/(ζημίες) μετά από δικαιώματα μειοψηφίας για τον Όμιλο για την εξάμηνη περίοδο που έληξε την 30 Ιουνίου 2025 ήταν α) κέρδη από αποτίμηση συμβάσεων αγοραπωλησίας ηλεκτρικής ενέργειας και β) πρόβλεψη για αποζημίωση κινήτρου αποχώρησης προσωπικού λόγω εξόδου από την υπηρεσία, ενώ για την εξάμηνη περίοδο που έληξε την 30 Ιουνίου 2024, η ειδική προσαρμογή που επηρέασε τον δείκτη ήταν μόνο τα κέρδη από αποτίμηση συμβάσεων αγοραπωλησίας ηλεκτρικής ενέργειας. Οι υπολογισμοί παρουσιάζονται στον Πίνακα Ε.</w:t>
      </w:r>
    </w:p>
    <w:p w14:paraId="1CB54E31" w14:textId="77777777" w:rsidR="00606579" w:rsidRPr="003B4EB4" w:rsidRDefault="00606579" w:rsidP="00606579">
      <w:pPr>
        <w:autoSpaceDE w:val="0"/>
        <w:autoSpaceDN w:val="0"/>
        <w:adjustRightInd w:val="0"/>
        <w:rPr>
          <w:rFonts w:ascii="Ping LCG Regular" w:eastAsia="Calibri" w:hAnsi="Ping LCG Regular" w:cs="Calibri"/>
          <w:b/>
          <w:color w:val="000000"/>
          <w:sz w:val="20"/>
          <w:szCs w:val="20"/>
          <w:lang w:val="el-GR"/>
        </w:rPr>
      </w:pPr>
    </w:p>
    <w:p w14:paraId="7285683E" w14:textId="77777777" w:rsidR="00606579" w:rsidRPr="003B4EB4" w:rsidRDefault="00606579" w:rsidP="00606579">
      <w:pPr>
        <w:autoSpaceDE w:val="0"/>
        <w:autoSpaceDN w:val="0"/>
        <w:adjustRightInd w:val="0"/>
        <w:rPr>
          <w:rFonts w:ascii="Ping LCG Regular" w:eastAsia="Calibri" w:hAnsi="Ping LCG Regular" w:cs="Calibri"/>
          <w:b/>
          <w:color w:val="000000"/>
          <w:sz w:val="20"/>
          <w:szCs w:val="20"/>
          <w:lang w:val="el-GR"/>
        </w:rPr>
      </w:pPr>
      <w:r w:rsidRPr="003B4EB4">
        <w:rPr>
          <w:rFonts w:ascii="Ping LCG Regular" w:eastAsia="Calibri" w:hAnsi="Ping LCG Regular" w:cs="Calibri"/>
          <w:b/>
          <w:color w:val="000000"/>
          <w:sz w:val="20"/>
          <w:szCs w:val="20"/>
          <w:lang w:val="el-GR"/>
        </w:rPr>
        <w:t xml:space="preserve">Καθαρός δανεισμός </w:t>
      </w:r>
    </w:p>
    <w:p w14:paraId="02FD0671" w14:textId="77777777" w:rsidR="00606579" w:rsidRPr="003B4EB4" w:rsidRDefault="00606579" w:rsidP="00606579">
      <w:pPr>
        <w:autoSpaceDE w:val="0"/>
        <w:autoSpaceDN w:val="0"/>
        <w:adjustRightInd w:val="0"/>
        <w:rPr>
          <w:rFonts w:ascii="Ping LCG Regular" w:eastAsia="Calibri" w:hAnsi="Ping LCG Regular" w:cs="Calibri"/>
          <w:b/>
          <w:color w:val="000000"/>
          <w:sz w:val="20"/>
          <w:szCs w:val="20"/>
          <w:lang w:val="el-GR"/>
        </w:rPr>
      </w:pPr>
    </w:p>
    <w:p w14:paraId="08F2FB44" w14:textId="5A606155" w:rsidR="002E2915" w:rsidRPr="000C68DD" w:rsidRDefault="005425AD" w:rsidP="005425AD">
      <w:pPr>
        <w:autoSpaceDE w:val="0"/>
        <w:autoSpaceDN w:val="0"/>
        <w:adjustRightInd w:val="0"/>
        <w:spacing w:after="160" w:line="276" w:lineRule="auto"/>
        <w:jc w:val="both"/>
        <w:rPr>
          <w:rFonts w:ascii="Ping LCG Regular" w:hAnsi="Ping LCG Regular" w:cstheme="minorHAnsi"/>
          <w:color w:val="000000"/>
          <w:sz w:val="20"/>
          <w:szCs w:val="20"/>
          <w:highlight w:val="yellow"/>
        </w:rPr>
      </w:pPr>
      <w:r w:rsidRPr="005425AD">
        <w:rPr>
          <w:rFonts w:ascii="Ping LCG Regular" w:hAnsi="Ping LCG Regular" w:cstheme="minorHAnsi"/>
          <w:color w:val="000000"/>
          <w:sz w:val="20"/>
          <w:szCs w:val="20"/>
          <w:lang w:val="el-GR"/>
        </w:rPr>
        <w:t xml:space="preserve">Ο Καθαρός δανεισμός είναι ένας ΕΔΜΑ που χρησιμοποιεί η διοίκηση για να αξιολογήσει την κεφαλαιακή διάρθρωση του Ομίλου και την δυνατότητα </w:t>
      </w:r>
      <w:proofErr w:type="spellStart"/>
      <w:r w:rsidRPr="005425AD">
        <w:rPr>
          <w:rFonts w:ascii="Ping LCG Regular" w:hAnsi="Ping LCG Regular" w:cstheme="minorHAnsi"/>
          <w:color w:val="000000"/>
          <w:sz w:val="20"/>
          <w:szCs w:val="20"/>
          <w:lang w:val="el-GR"/>
        </w:rPr>
        <w:t>μόχλευσης</w:t>
      </w:r>
      <w:proofErr w:type="spellEnd"/>
      <w:r w:rsidRPr="005425AD">
        <w:rPr>
          <w:rFonts w:ascii="Ping LCG Regular" w:hAnsi="Ping LCG Regular" w:cstheme="minorHAnsi"/>
          <w:color w:val="000000"/>
          <w:sz w:val="20"/>
          <w:szCs w:val="20"/>
          <w:lang w:val="el-GR"/>
        </w:rPr>
        <w:t xml:space="preserve">. Ο Καθαρός δανεισμός υπολογίζεται προσθέτοντας στα μακροπρόθεσμα δάνεια το βραχυπρόθεσμο μέρος μακροπρόθεσμων δανείων και τα βραχυπρόθεσμα δάνεια, αφαιρώντας από το σύνολο τα χρηματικά διαθέσιμα, τις δεσμευμένες καταθέσεις που αφορούν σε δανειακές συμβάσεις και τα χρηματοοικονομικά περιουσιακά στοιχεία </w:t>
      </w:r>
      <w:proofErr w:type="spellStart"/>
      <w:r w:rsidRPr="005425AD">
        <w:rPr>
          <w:rFonts w:ascii="Ping LCG Regular" w:hAnsi="Ping LCG Regular" w:cstheme="minorHAnsi"/>
          <w:color w:val="000000"/>
          <w:sz w:val="20"/>
          <w:szCs w:val="20"/>
          <w:lang w:val="el-GR"/>
        </w:rPr>
        <w:t>επιμετρούμενα</w:t>
      </w:r>
      <w:proofErr w:type="spellEnd"/>
      <w:r w:rsidRPr="005425AD">
        <w:rPr>
          <w:rFonts w:ascii="Ping LCG Regular" w:hAnsi="Ping LCG Regular" w:cstheme="minorHAnsi"/>
          <w:color w:val="000000"/>
          <w:sz w:val="20"/>
          <w:szCs w:val="20"/>
          <w:lang w:val="el-GR"/>
        </w:rPr>
        <w:t xml:space="preserve"> στην εύλογη αξία μέσω των συνολικών εισοδημάτων και προσθέτοντας το </w:t>
      </w:r>
      <w:proofErr w:type="spellStart"/>
      <w:r w:rsidRPr="005425AD">
        <w:rPr>
          <w:rFonts w:ascii="Ping LCG Regular" w:hAnsi="Ping LCG Regular" w:cstheme="minorHAnsi"/>
          <w:color w:val="000000"/>
          <w:sz w:val="20"/>
          <w:szCs w:val="20"/>
          <w:lang w:val="el-GR"/>
        </w:rPr>
        <w:t>αναπόσβεστο</w:t>
      </w:r>
      <w:proofErr w:type="spellEnd"/>
      <w:r w:rsidRPr="005425AD">
        <w:rPr>
          <w:rFonts w:ascii="Ping LCG Regular" w:hAnsi="Ping LCG Regular" w:cstheme="minorHAnsi"/>
          <w:color w:val="000000"/>
          <w:sz w:val="20"/>
          <w:szCs w:val="20"/>
          <w:lang w:val="el-GR"/>
        </w:rPr>
        <w:t xml:space="preserve"> μέρος των εξόδων σύναψης δανείων και προσαρμογών ΔΠΧΑ 9. Οι υπολογισμοί παρουσιάζονται στον πίνακα ΣΤ.</w:t>
      </w:r>
      <w:r w:rsidRPr="005425AD">
        <w:rPr>
          <w:rFonts w:ascii="Ping LCG Regular" w:hAnsi="Ping LCG Regular" w:cstheme="minorHAnsi"/>
          <w:color w:val="000000"/>
          <w:sz w:val="20"/>
          <w:szCs w:val="20"/>
        </w:rPr>
        <w:t xml:space="preserve"> </w:t>
      </w:r>
      <w:r w:rsidR="002E2915" w:rsidRPr="000C68DD">
        <w:rPr>
          <w:rFonts w:ascii="Ping LCG Regular" w:hAnsi="Ping LCG Regular" w:cstheme="minorHAnsi"/>
          <w:color w:val="000000"/>
          <w:sz w:val="20"/>
          <w:szCs w:val="20"/>
          <w:highlight w:val="yellow"/>
        </w:rPr>
        <w:br w:type="page"/>
      </w:r>
    </w:p>
    <w:p w14:paraId="29183026" w14:textId="535F486B" w:rsidR="002E2915" w:rsidRPr="001E560D" w:rsidRDefault="00811AFC" w:rsidP="002E2915">
      <w:pPr>
        <w:rPr>
          <w:rFonts w:ascii="Ping LCG Regular" w:hAnsi="Ping LCG Regular" w:cs="Calibri Light"/>
          <w:color w:val="000000"/>
          <w:sz w:val="20"/>
          <w:szCs w:val="20"/>
          <w:lang w:val="el-GR"/>
        </w:rPr>
      </w:pPr>
      <w:r w:rsidRPr="001E560D">
        <w:rPr>
          <w:noProof/>
        </w:rPr>
        <w:lastRenderedPageBreak/>
        <w:drawing>
          <wp:inline distT="0" distB="0" distL="0" distR="0" wp14:anchorId="1B663BEE" wp14:editId="471B3461">
            <wp:extent cx="5594350" cy="4848860"/>
            <wp:effectExtent l="0" t="0" r="6350" b="8890"/>
            <wp:docPr id="14253121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94350" cy="4848860"/>
                    </a:xfrm>
                    <a:prstGeom prst="rect">
                      <a:avLst/>
                    </a:prstGeom>
                    <a:noFill/>
                    <a:ln>
                      <a:noFill/>
                    </a:ln>
                  </pic:spPr>
                </pic:pic>
              </a:graphicData>
            </a:graphic>
          </wp:inline>
        </w:drawing>
      </w:r>
    </w:p>
    <w:p w14:paraId="32A3BD2A" w14:textId="3F062C5F" w:rsidR="002038C7" w:rsidRPr="00811AFC" w:rsidRDefault="007510E1" w:rsidP="002E2915">
      <w:pPr>
        <w:rPr>
          <w:rFonts w:ascii="Ping LCG Regular" w:hAnsi="Ping LCG Regular" w:cs="Calibri Light"/>
          <w:color w:val="000000"/>
          <w:sz w:val="20"/>
          <w:szCs w:val="20"/>
          <w:lang w:val="el-GR"/>
        </w:rPr>
      </w:pPr>
      <w:r w:rsidRPr="00811AFC">
        <w:rPr>
          <w:rFonts w:ascii="Ping LCG Regular" w:hAnsi="Ping LCG Regular" w:cs="Calibri Light"/>
          <w:color w:val="000000"/>
          <w:sz w:val="20"/>
          <w:szCs w:val="20"/>
          <w:lang w:val="el-GR"/>
        </w:rPr>
        <w:t xml:space="preserve"> </w:t>
      </w:r>
    </w:p>
    <w:p w14:paraId="1FFBE9AA" w14:textId="77777777" w:rsidR="002E2915" w:rsidRPr="00811AFC" w:rsidRDefault="002E2915" w:rsidP="002E2915">
      <w:pPr>
        <w:rPr>
          <w:rFonts w:ascii="Ping LCG Regular" w:hAnsi="Ping LCG Regular" w:cs="Calibri Light"/>
          <w:color w:val="000000"/>
          <w:sz w:val="20"/>
          <w:szCs w:val="20"/>
        </w:rPr>
      </w:pPr>
    </w:p>
    <w:p w14:paraId="24DF8281" w14:textId="77777777" w:rsidR="00212736" w:rsidRPr="00811AFC" w:rsidRDefault="00212736" w:rsidP="002E2915">
      <w:pPr>
        <w:rPr>
          <w:rFonts w:ascii="Ping LCG Regular" w:hAnsi="Ping LCG Regular" w:cs="Calibri Light"/>
          <w:color w:val="000000"/>
          <w:sz w:val="20"/>
          <w:szCs w:val="20"/>
        </w:rPr>
      </w:pPr>
    </w:p>
    <w:p w14:paraId="4BBE7201" w14:textId="3A1029A6" w:rsidR="003A1B12" w:rsidRPr="00811AFC" w:rsidRDefault="004B3E3F" w:rsidP="002E2915">
      <w:pPr>
        <w:rPr>
          <w:rFonts w:ascii="Ping LCG Regular" w:hAnsi="Ping LCG Regular" w:cs="Calibri Light"/>
          <w:color w:val="000000"/>
          <w:sz w:val="20"/>
          <w:szCs w:val="20"/>
          <w:lang w:val="el-GR"/>
        </w:rPr>
      </w:pPr>
      <w:r w:rsidRPr="004B3E3F">
        <w:rPr>
          <w:noProof/>
        </w:rPr>
        <w:drawing>
          <wp:inline distT="0" distB="0" distL="0" distR="0" wp14:anchorId="35FDAF82" wp14:editId="235E5FF3">
            <wp:extent cx="5594350" cy="2405380"/>
            <wp:effectExtent l="0" t="0" r="6350" b="0"/>
            <wp:docPr id="21353023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94350" cy="2405380"/>
                    </a:xfrm>
                    <a:prstGeom prst="rect">
                      <a:avLst/>
                    </a:prstGeom>
                    <a:noFill/>
                    <a:ln>
                      <a:noFill/>
                    </a:ln>
                  </pic:spPr>
                </pic:pic>
              </a:graphicData>
            </a:graphic>
          </wp:inline>
        </w:drawing>
      </w:r>
    </w:p>
    <w:p w14:paraId="128DACAB" w14:textId="5E530F23" w:rsidR="002E2915" w:rsidRPr="00811AFC" w:rsidRDefault="00E63B93" w:rsidP="002E2915">
      <w:pPr>
        <w:rPr>
          <w:rFonts w:ascii="Ping LCG Regular" w:hAnsi="Ping LCG Regular" w:cs="Calibri Light"/>
          <w:color w:val="000000"/>
          <w:sz w:val="20"/>
          <w:szCs w:val="20"/>
          <w:lang w:val="el-GR"/>
        </w:rPr>
      </w:pPr>
      <w:r w:rsidRPr="00811AFC">
        <w:rPr>
          <w:rFonts w:ascii="Ping LCG Regular" w:hAnsi="Ping LCG Regular" w:cs="Calibri Light"/>
          <w:color w:val="000000"/>
          <w:sz w:val="20"/>
          <w:szCs w:val="20"/>
          <w:lang w:val="el-GR"/>
        </w:rPr>
        <w:t xml:space="preserve"> </w:t>
      </w:r>
      <w:r w:rsidR="0014704A" w:rsidRPr="00811AFC">
        <w:rPr>
          <w:rFonts w:ascii="Ping LCG Regular" w:hAnsi="Ping LCG Regular" w:cs="Calibri Light"/>
          <w:color w:val="000000"/>
          <w:sz w:val="20"/>
          <w:szCs w:val="20"/>
          <w:lang w:val="el-GR"/>
        </w:rPr>
        <w:t xml:space="preserve"> </w:t>
      </w:r>
    </w:p>
    <w:p w14:paraId="6E368D47" w14:textId="77777777" w:rsidR="003A1B12" w:rsidRPr="00811AFC" w:rsidRDefault="003A1B12" w:rsidP="002E2915">
      <w:pPr>
        <w:rPr>
          <w:rFonts w:ascii="Ping LCG Regular" w:hAnsi="Ping LCG Regular" w:cs="Calibri Light"/>
          <w:color w:val="000000"/>
          <w:sz w:val="20"/>
          <w:szCs w:val="20"/>
          <w:lang w:val="el-GR"/>
        </w:rPr>
      </w:pPr>
    </w:p>
    <w:p w14:paraId="37CB336A" w14:textId="77777777" w:rsidR="003A1B12" w:rsidRPr="00811AFC" w:rsidRDefault="003A1B12" w:rsidP="002E2915">
      <w:pPr>
        <w:rPr>
          <w:rFonts w:ascii="Ping LCG Regular" w:hAnsi="Ping LCG Regular" w:cs="Calibri Light"/>
          <w:color w:val="000000"/>
          <w:sz w:val="20"/>
          <w:szCs w:val="20"/>
          <w:lang w:val="el-GR"/>
        </w:rPr>
      </w:pPr>
    </w:p>
    <w:p w14:paraId="6617E2E0" w14:textId="7838A689" w:rsidR="003A1B12" w:rsidRPr="00811AFC" w:rsidRDefault="00E63B93">
      <w:pPr>
        <w:rPr>
          <w:rFonts w:ascii="Ping LCG Regular" w:hAnsi="Ping LCG Regular" w:cstheme="minorHAnsi"/>
          <w:color w:val="000000"/>
          <w:sz w:val="20"/>
          <w:szCs w:val="20"/>
          <w:lang w:val="el-GR"/>
        </w:rPr>
      </w:pPr>
      <w:r w:rsidRPr="00811AFC">
        <w:rPr>
          <w:rFonts w:ascii="Ping LCG Regular" w:hAnsi="Ping LCG Regular" w:cstheme="minorHAnsi"/>
          <w:color w:val="000000"/>
          <w:sz w:val="20"/>
          <w:szCs w:val="20"/>
          <w:lang w:val="el-GR"/>
        </w:rPr>
        <w:t xml:space="preserve"> </w:t>
      </w:r>
      <w:r w:rsidR="0014704A" w:rsidRPr="00811AFC">
        <w:rPr>
          <w:rFonts w:ascii="Ping LCG Regular" w:hAnsi="Ping LCG Regular" w:cstheme="minorHAnsi"/>
          <w:color w:val="000000"/>
          <w:sz w:val="20"/>
          <w:szCs w:val="20"/>
          <w:lang w:val="el-GR"/>
        </w:rPr>
        <w:t xml:space="preserve"> </w:t>
      </w:r>
    </w:p>
    <w:p w14:paraId="54EAB461" w14:textId="77777777" w:rsidR="003A1B12" w:rsidRPr="00811AFC" w:rsidRDefault="003A1B12">
      <w:pPr>
        <w:rPr>
          <w:rFonts w:ascii="Ping LCG Regular" w:hAnsi="Ping LCG Regular" w:cstheme="minorHAnsi"/>
          <w:color w:val="000000"/>
          <w:sz w:val="20"/>
          <w:szCs w:val="20"/>
          <w:lang w:val="el-GR"/>
        </w:rPr>
      </w:pPr>
    </w:p>
    <w:p w14:paraId="0BE057D6" w14:textId="437D595D" w:rsidR="003A1B12" w:rsidRPr="00811AFC" w:rsidRDefault="003A7A1E">
      <w:pPr>
        <w:rPr>
          <w:rFonts w:ascii="Ping LCG Regular" w:hAnsi="Ping LCG Regular" w:cstheme="minorHAnsi"/>
          <w:color w:val="000000"/>
          <w:sz w:val="20"/>
          <w:szCs w:val="20"/>
        </w:rPr>
      </w:pPr>
      <w:r w:rsidRPr="003A7A1E">
        <w:rPr>
          <w:noProof/>
        </w:rPr>
        <w:lastRenderedPageBreak/>
        <w:drawing>
          <wp:inline distT="0" distB="0" distL="0" distR="0" wp14:anchorId="6929B4D5" wp14:editId="0D8F2CEE">
            <wp:extent cx="5594350" cy="2138045"/>
            <wp:effectExtent l="0" t="0" r="6350" b="0"/>
            <wp:docPr id="17922774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94350" cy="2138045"/>
                    </a:xfrm>
                    <a:prstGeom prst="rect">
                      <a:avLst/>
                    </a:prstGeom>
                    <a:noFill/>
                    <a:ln>
                      <a:noFill/>
                    </a:ln>
                  </pic:spPr>
                </pic:pic>
              </a:graphicData>
            </a:graphic>
          </wp:inline>
        </w:drawing>
      </w:r>
    </w:p>
    <w:p w14:paraId="2F1B99F4" w14:textId="77777777" w:rsidR="007C56A1" w:rsidRPr="00811AFC" w:rsidRDefault="007C56A1">
      <w:pPr>
        <w:rPr>
          <w:rFonts w:ascii="Ping LCG Regular" w:hAnsi="Ping LCG Regular" w:cstheme="minorHAnsi"/>
          <w:color w:val="000000"/>
          <w:sz w:val="20"/>
          <w:szCs w:val="20"/>
        </w:rPr>
      </w:pPr>
    </w:p>
    <w:p w14:paraId="4DC3F61D" w14:textId="77777777" w:rsidR="00E63B93" w:rsidRPr="00811AFC" w:rsidRDefault="00E63B93">
      <w:pPr>
        <w:rPr>
          <w:rFonts w:ascii="Ping LCG Regular" w:hAnsi="Ping LCG Regular" w:cstheme="minorHAnsi"/>
          <w:color w:val="000000"/>
          <w:sz w:val="20"/>
          <w:szCs w:val="20"/>
          <w:lang w:val="el-GR"/>
        </w:rPr>
      </w:pPr>
    </w:p>
    <w:p w14:paraId="041D0BF0" w14:textId="51EEEC4F" w:rsidR="003E27AE" w:rsidRPr="00811AFC" w:rsidRDefault="00B737B8">
      <w:pPr>
        <w:rPr>
          <w:rFonts w:ascii="Ping LCG Regular" w:hAnsi="Ping LCG Regular" w:cstheme="minorHAnsi"/>
          <w:color w:val="000000"/>
          <w:sz w:val="20"/>
          <w:szCs w:val="20"/>
          <w:lang w:val="el-GR"/>
        </w:rPr>
      </w:pPr>
      <w:r w:rsidRPr="00811AFC">
        <w:rPr>
          <w:rFonts w:ascii="Ping LCG Regular" w:hAnsi="Ping LCG Regular" w:cstheme="minorHAnsi"/>
          <w:color w:val="000000"/>
          <w:sz w:val="20"/>
          <w:szCs w:val="20"/>
          <w:lang w:val="el-GR"/>
        </w:rPr>
        <w:t xml:space="preserve"> </w:t>
      </w:r>
      <w:r w:rsidR="00B24B53" w:rsidRPr="00811AFC">
        <w:rPr>
          <w:rFonts w:ascii="Ping LCG Regular" w:hAnsi="Ping LCG Regular" w:cstheme="minorHAnsi"/>
          <w:color w:val="000000"/>
          <w:sz w:val="20"/>
          <w:szCs w:val="20"/>
          <w:lang w:val="el-GR"/>
        </w:rPr>
        <w:t xml:space="preserve"> </w:t>
      </w:r>
    </w:p>
    <w:p w14:paraId="6159F17F" w14:textId="4B3B85D2" w:rsidR="003E27AE" w:rsidRPr="00811AFC" w:rsidRDefault="00A5290A">
      <w:pPr>
        <w:rPr>
          <w:rFonts w:ascii="Ping LCG Regular" w:hAnsi="Ping LCG Regular" w:cstheme="minorHAnsi"/>
          <w:color w:val="000000"/>
          <w:sz w:val="20"/>
          <w:szCs w:val="20"/>
          <w:lang w:val="el-GR"/>
        </w:rPr>
      </w:pPr>
      <w:r w:rsidRPr="00A5290A">
        <w:rPr>
          <w:noProof/>
        </w:rPr>
        <w:drawing>
          <wp:inline distT="0" distB="0" distL="0" distR="0" wp14:anchorId="73AC3DB1" wp14:editId="56E31286">
            <wp:extent cx="5594350" cy="4338955"/>
            <wp:effectExtent l="0" t="0" r="6350" b="4445"/>
            <wp:docPr id="19028880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94350" cy="4338955"/>
                    </a:xfrm>
                    <a:prstGeom prst="rect">
                      <a:avLst/>
                    </a:prstGeom>
                    <a:noFill/>
                    <a:ln>
                      <a:noFill/>
                    </a:ln>
                  </pic:spPr>
                </pic:pic>
              </a:graphicData>
            </a:graphic>
          </wp:inline>
        </w:drawing>
      </w:r>
    </w:p>
    <w:p w14:paraId="5D6B1A47" w14:textId="6260BF09" w:rsidR="003E27AE" w:rsidRPr="00FD076F" w:rsidRDefault="00CC6C3F">
      <w:pPr>
        <w:rPr>
          <w:rFonts w:ascii="Ping LCG Regular" w:hAnsi="Ping LCG Regular" w:cstheme="minorHAnsi"/>
          <w:color w:val="000000"/>
          <w:sz w:val="20"/>
          <w:szCs w:val="20"/>
        </w:rPr>
      </w:pPr>
      <w:r w:rsidRPr="00811AFC">
        <w:rPr>
          <w:rFonts w:ascii="Ping LCG Regular" w:hAnsi="Ping LCG Regular" w:cstheme="minorHAnsi"/>
          <w:color w:val="000000"/>
          <w:sz w:val="20"/>
          <w:szCs w:val="20"/>
          <w:lang w:val="el-GR"/>
        </w:rPr>
        <w:t xml:space="preserve"> </w:t>
      </w:r>
    </w:p>
    <w:p w14:paraId="4A8F61FE" w14:textId="77777777" w:rsidR="003E27AE" w:rsidRDefault="003E27AE">
      <w:pPr>
        <w:rPr>
          <w:rFonts w:ascii="Ping LCG Regular" w:hAnsi="Ping LCG Regular" w:cstheme="minorHAnsi"/>
          <w:color w:val="000000"/>
          <w:sz w:val="20"/>
          <w:szCs w:val="20"/>
          <w:lang w:val="el-GR"/>
        </w:rPr>
      </w:pPr>
    </w:p>
    <w:p w14:paraId="41BD0D8A" w14:textId="77777777" w:rsidR="003E27AE" w:rsidRDefault="003E27AE">
      <w:pPr>
        <w:rPr>
          <w:rFonts w:ascii="Ping LCG Regular" w:hAnsi="Ping LCG Regular" w:cstheme="minorHAnsi"/>
          <w:color w:val="000000"/>
          <w:sz w:val="20"/>
          <w:szCs w:val="20"/>
          <w:lang w:val="el-GR"/>
        </w:rPr>
      </w:pPr>
    </w:p>
    <w:p w14:paraId="16567956" w14:textId="4EF63C04" w:rsidR="006F6633" w:rsidRDefault="003216F6" w:rsidP="005A256D">
      <w:pPr>
        <w:rPr>
          <w:rFonts w:ascii="Ping LCG Regular" w:hAnsi="Ping LCG Regular" w:cs="Calibri Light"/>
          <w:color w:val="000000"/>
          <w:sz w:val="20"/>
          <w:szCs w:val="20"/>
        </w:rPr>
      </w:pPr>
      <w:r w:rsidRPr="003216F6">
        <w:rPr>
          <w:noProof/>
        </w:rPr>
        <w:lastRenderedPageBreak/>
        <w:drawing>
          <wp:inline distT="0" distB="0" distL="0" distR="0" wp14:anchorId="46D70DCD" wp14:editId="435B0424">
            <wp:extent cx="5594350" cy="2629535"/>
            <wp:effectExtent l="0" t="0" r="6350" b="0"/>
            <wp:docPr id="18837350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94350" cy="2629535"/>
                    </a:xfrm>
                    <a:prstGeom prst="rect">
                      <a:avLst/>
                    </a:prstGeom>
                    <a:noFill/>
                    <a:ln>
                      <a:noFill/>
                    </a:ln>
                  </pic:spPr>
                </pic:pic>
              </a:graphicData>
            </a:graphic>
          </wp:inline>
        </w:drawing>
      </w:r>
    </w:p>
    <w:p w14:paraId="388DAEF8" w14:textId="1A91918D" w:rsidR="002E2915" w:rsidRDefault="005632C3" w:rsidP="005A256D">
      <w:pPr>
        <w:rPr>
          <w:rFonts w:ascii="Ping LCG Regular" w:hAnsi="Ping LCG Regular" w:cs="Calibri Light"/>
          <w:color w:val="000000"/>
          <w:sz w:val="20"/>
          <w:szCs w:val="20"/>
        </w:rPr>
      </w:pPr>
      <w:r w:rsidRPr="005632C3">
        <w:rPr>
          <w:rFonts w:ascii="Ping LCG Regular" w:hAnsi="Ping LCG Regular" w:cs="Calibri Light"/>
          <w:color w:val="000000"/>
          <w:sz w:val="20"/>
          <w:szCs w:val="20"/>
          <w:lang w:val="el-GR"/>
        </w:rPr>
        <w:t xml:space="preserve"> </w:t>
      </w:r>
      <w:r w:rsidR="005E630F" w:rsidRPr="005E630F">
        <w:rPr>
          <w:rFonts w:ascii="Ping LCG Regular" w:hAnsi="Ping LCG Regular" w:cs="Calibri Light"/>
          <w:color w:val="000000"/>
          <w:sz w:val="20"/>
          <w:szCs w:val="20"/>
          <w:lang w:val="el-GR"/>
        </w:rPr>
        <w:t xml:space="preserve"> </w:t>
      </w:r>
    </w:p>
    <w:p w14:paraId="3936107E" w14:textId="77777777" w:rsidR="003216F6" w:rsidRDefault="003216F6" w:rsidP="005A256D">
      <w:pPr>
        <w:rPr>
          <w:rFonts w:ascii="Ping LCG Regular" w:hAnsi="Ping LCG Regular" w:cs="Calibri Light"/>
          <w:color w:val="000000"/>
          <w:sz w:val="20"/>
          <w:szCs w:val="20"/>
        </w:rPr>
      </w:pPr>
    </w:p>
    <w:p w14:paraId="5CC1F11C" w14:textId="77777777" w:rsidR="003216F6" w:rsidRDefault="003216F6" w:rsidP="005A256D">
      <w:pPr>
        <w:rPr>
          <w:rFonts w:ascii="Ping LCG Regular" w:hAnsi="Ping LCG Regular" w:cs="Calibri Light"/>
          <w:color w:val="000000"/>
          <w:sz w:val="20"/>
          <w:szCs w:val="20"/>
        </w:rPr>
      </w:pPr>
    </w:p>
    <w:p w14:paraId="12207763" w14:textId="77777777" w:rsidR="003216F6" w:rsidRDefault="003216F6" w:rsidP="005A256D">
      <w:pPr>
        <w:rPr>
          <w:rFonts w:ascii="Ping LCG Regular" w:hAnsi="Ping LCG Regular" w:cs="Calibri Light"/>
          <w:color w:val="000000"/>
          <w:sz w:val="20"/>
          <w:szCs w:val="20"/>
        </w:rPr>
      </w:pPr>
    </w:p>
    <w:p w14:paraId="466A198F" w14:textId="1028EFB9" w:rsidR="003216F6" w:rsidRPr="001E560D" w:rsidRDefault="00E361EB" w:rsidP="005A256D">
      <w:pPr>
        <w:rPr>
          <w:rFonts w:ascii="Ping LCG Regular" w:hAnsi="Ping LCG Regular" w:cs="Calibri Light"/>
          <w:color w:val="000000"/>
          <w:sz w:val="20"/>
          <w:szCs w:val="20"/>
        </w:rPr>
      </w:pPr>
      <w:r w:rsidRPr="00E361EB">
        <w:rPr>
          <w:noProof/>
        </w:rPr>
        <w:drawing>
          <wp:inline distT="0" distB="0" distL="0" distR="0" wp14:anchorId="2BED69A7" wp14:editId="505B3241">
            <wp:extent cx="5594350" cy="2635885"/>
            <wp:effectExtent l="0" t="0" r="6350" b="0"/>
            <wp:docPr id="95739705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94350" cy="2635885"/>
                    </a:xfrm>
                    <a:prstGeom prst="rect">
                      <a:avLst/>
                    </a:prstGeom>
                    <a:noFill/>
                    <a:ln>
                      <a:noFill/>
                    </a:ln>
                  </pic:spPr>
                </pic:pic>
              </a:graphicData>
            </a:graphic>
          </wp:inline>
        </w:drawing>
      </w:r>
    </w:p>
    <w:sectPr w:rsidR="003216F6" w:rsidRPr="001E560D" w:rsidSect="00F433E6">
      <w:headerReference w:type="even" r:id="rId23"/>
      <w:headerReference w:type="default" r:id="rId24"/>
      <w:footerReference w:type="even" r:id="rId25"/>
      <w:footerReference w:type="default" r:id="rId26"/>
      <w:headerReference w:type="first" r:id="rId27"/>
      <w:footerReference w:type="first" r:id="rId28"/>
      <w:pgSz w:w="11900" w:h="16840" w:code="9"/>
      <w:pgMar w:top="1701" w:right="1531" w:bottom="284" w:left="1559" w:header="0" w:footer="13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DE462" w14:textId="77777777" w:rsidR="00471BE1" w:rsidRDefault="00471BE1" w:rsidP="0054172F">
      <w:r>
        <w:separator/>
      </w:r>
    </w:p>
  </w:endnote>
  <w:endnote w:type="continuationSeparator" w:id="0">
    <w:p w14:paraId="549B8CD3" w14:textId="77777777" w:rsidR="00471BE1" w:rsidRDefault="00471BE1" w:rsidP="0054172F">
      <w:r>
        <w:continuationSeparator/>
      </w:r>
    </w:p>
  </w:endnote>
  <w:endnote w:type="continuationNotice" w:id="1">
    <w:p w14:paraId="4FD5D1F1" w14:textId="77777777" w:rsidR="00471BE1" w:rsidRDefault="00471B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ing LCG Regular">
    <w:altName w:val="Calibri"/>
    <w:panose1 w:val="00000000000000000000"/>
    <w:charset w:val="00"/>
    <w:family w:val="modern"/>
    <w:notTrueType/>
    <w:pitch w:val="variable"/>
    <w:sig w:usb0="E00002FF" w:usb1="5001E47B" w:usb2="00000000" w:usb3="00000000" w:csb0="0000019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Body CS)">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85490327"/>
      <w:docPartObj>
        <w:docPartGallery w:val="Page Numbers (Bottom of Page)"/>
        <w:docPartUnique/>
      </w:docPartObj>
    </w:sdtPr>
    <w:sdtContent>
      <w:p w14:paraId="634B7564" w14:textId="7EE273B5" w:rsidR="00277187" w:rsidRDefault="00277187" w:rsidP="00C30099">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070DBB">
          <w:rPr>
            <w:rStyle w:val="PageNumber"/>
            <w:noProof/>
          </w:rPr>
          <w:t>2</w:t>
        </w:r>
        <w:r>
          <w:rPr>
            <w:rStyle w:val="PageNumber"/>
          </w:rPr>
          <w:fldChar w:fldCharType="end"/>
        </w:r>
      </w:p>
    </w:sdtContent>
  </w:sdt>
  <w:p w14:paraId="1B38097A" w14:textId="77777777" w:rsidR="00277187" w:rsidRDefault="00277187" w:rsidP="0027718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Ping LCG Regular" w:hAnsi="Ping LCG Regular"/>
        <w:sz w:val="16"/>
        <w:szCs w:val="16"/>
      </w:rPr>
      <w:id w:val="-472456482"/>
      <w:docPartObj>
        <w:docPartGallery w:val="Page Numbers (Bottom of Page)"/>
        <w:docPartUnique/>
      </w:docPartObj>
    </w:sdtPr>
    <w:sdtEndPr>
      <w:rPr>
        <w:rStyle w:val="PageNumber"/>
        <w:color w:val="FFFFFF" w:themeColor="background1"/>
      </w:rPr>
    </w:sdtEndPr>
    <w:sdtContent>
      <w:p w14:paraId="44C738F4" w14:textId="750F5C83" w:rsidR="00277187" w:rsidRPr="0028254A" w:rsidRDefault="00277187" w:rsidP="00F5169D">
        <w:pPr>
          <w:pStyle w:val="Footer"/>
          <w:framePr w:w="561" w:wrap="notBeside" w:vAnchor="page" w:hAnchor="page" w:x="10601" w:y="16267"/>
          <w:jc w:val="right"/>
          <w:rPr>
            <w:rStyle w:val="PageNumber"/>
            <w:rFonts w:ascii="Ping LCG Regular" w:hAnsi="Ping LCG Regular"/>
            <w:color w:val="FFFFFF" w:themeColor="background1"/>
            <w:sz w:val="16"/>
            <w:szCs w:val="16"/>
          </w:rPr>
        </w:pPr>
        <w:r w:rsidRPr="0028254A">
          <w:rPr>
            <w:rStyle w:val="PageNumber"/>
            <w:rFonts w:ascii="Ping LCG Regular" w:hAnsi="Ping LCG Regular"/>
            <w:color w:val="FFFFFF" w:themeColor="background1"/>
            <w:sz w:val="16"/>
            <w:szCs w:val="16"/>
          </w:rPr>
          <w:fldChar w:fldCharType="begin"/>
        </w:r>
        <w:r w:rsidRPr="0028254A">
          <w:rPr>
            <w:rStyle w:val="PageNumber"/>
            <w:rFonts w:ascii="Ping LCG Regular" w:hAnsi="Ping LCG Regular"/>
            <w:color w:val="FFFFFF" w:themeColor="background1"/>
            <w:sz w:val="16"/>
            <w:szCs w:val="16"/>
          </w:rPr>
          <w:instrText xml:space="preserve"> PAGE </w:instrText>
        </w:r>
        <w:r w:rsidRPr="0028254A">
          <w:rPr>
            <w:rStyle w:val="PageNumber"/>
            <w:rFonts w:ascii="Ping LCG Regular" w:hAnsi="Ping LCG Regular"/>
            <w:color w:val="FFFFFF" w:themeColor="background1"/>
            <w:sz w:val="16"/>
            <w:szCs w:val="16"/>
          </w:rPr>
          <w:fldChar w:fldCharType="separate"/>
        </w:r>
        <w:r w:rsidRPr="0028254A">
          <w:rPr>
            <w:rStyle w:val="PageNumber"/>
            <w:rFonts w:ascii="Ping LCG Regular" w:hAnsi="Ping LCG Regular"/>
            <w:noProof/>
            <w:color w:val="FFFFFF" w:themeColor="background1"/>
            <w:sz w:val="16"/>
            <w:szCs w:val="16"/>
          </w:rPr>
          <w:t>2</w:t>
        </w:r>
        <w:r w:rsidRPr="0028254A">
          <w:rPr>
            <w:rStyle w:val="PageNumber"/>
            <w:rFonts w:ascii="Ping LCG Regular" w:hAnsi="Ping LCG Regular"/>
            <w:color w:val="FFFFFF" w:themeColor="background1"/>
            <w:sz w:val="16"/>
            <w:szCs w:val="16"/>
          </w:rPr>
          <w:fldChar w:fldCharType="end"/>
        </w:r>
      </w:p>
    </w:sdtContent>
  </w:sdt>
  <w:p w14:paraId="4A55A45F" w14:textId="01CBC603" w:rsidR="00351929" w:rsidRPr="00F95A9D" w:rsidRDefault="0078225D" w:rsidP="00C30099">
    <w:pPr>
      <w:pStyle w:val="Footer"/>
      <w:ind w:firstLine="360"/>
      <w:rPr>
        <w:lang w:val="el-GR"/>
      </w:rPr>
    </w:pPr>
    <w:r>
      <w:rPr>
        <w:noProof/>
      </w:rPr>
      <w:drawing>
        <wp:anchor distT="0" distB="0" distL="114300" distR="114300" simplePos="0" relativeHeight="251659264" behindDoc="1" locked="0" layoutInCell="1" allowOverlap="1" wp14:anchorId="0178250E" wp14:editId="70D416BD">
          <wp:simplePos x="0" y="0"/>
          <wp:positionH relativeFrom="page">
            <wp:posOffset>0</wp:posOffset>
          </wp:positionH>
          <wp:positionV relativeFrom="page">
            <wp:posOffset>9730333</wp:posOffset>
          </wp:positionV>
          <wp:extent cx="7560000" cy="968400"/>
          <wp:effectExtent l="0" t="0" r="3175" b="3175"/>
          <wp:wrapNone/>
          <wp:docPr id="1480536058" name="Picture 2" descr="A blue and yellow background&#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80536058" name="Picture 2" descr="A blue and yellow background&#10;&#10;AI-generated content may be incorrect."/>
                  <pic:cNvPicPr/>
                </pic:nvPicPr>
                <pic:blipFill>
                  <a:blip r:embed="rId1"/>
                  <a:stretch>
                    <a:fillRect/>
                  </a:stretch>
                </pic:blipFill>
                <pic:spPr>
                  <a:xfrm>
                    <a:off x="0" y="0"/>
                    <a:ext cx="7560000" cy="968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40C8E" w14:textId="0CCCA918" w:rsidR="001B100F" w:rsidRDefault="00C24C12" w:rsidP="00277187">
    <w:pPr>
      <w:pStyle w:val="Footer"/>
      <w:ind w:firstLine="360"/>
    </w:pPr>
    <w:r>
      <w:rPr>
        <w:noProof/>
      </w:rPr>
      <w:drawing>
        <wp:anchor distT="0" distB="0" distL="114300" distR="114300" simplePos="0" relativeHeight="251657216" behindDoc="1" locked="0" layoutInCell="1" allowOverlap="1" wp14:anchorId="227FB731" wp14:editId="466A46AD">
          <wp:simplePos x="0" y="0"/>
          <wp:positionH relativeFrom="page">
            <wp:posOffset>0</wp:posOffset>
          </wp:positionH>
          <wp:positionV relativeFrom="page">
            <wp:posOffset>9717405</wp:posOffset>
          </wp:positionV>
          <wp:extent cx="7560000" cy="972000"/>
          <wp:effectExtent l="0" t="0" r="0" b="6350"/>
          <wp:wrapNone/>
          <wp:docPr id="823406536" name="Picture 2" descr="A blue and yellow background&#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3406536" name="Picture 2" descr="A blue and yellow background&#10;&#10;AI-generated content may be incorrect."/>
                  <pic:cNvPicPr/>
                </pic:nvPicPr>
                <pic:blipFill>
                  <a:blip r:embed="rId1"/>
                  <a:stretch>
                    <a:fillRect/>
                  </a:stretch>
                </pic:blipFill>
                <pic:spPr>
                  <a:xfrm>
                    <a:off x="0" y="0"/>
                    <a:ext cx="7560000" cy="972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E2079" w14:textId="77777777" w:rsidR="00471BE1" w:rsidRDefault="00471BE1" w:rsidP="0054172F">
      <w:r>
        <w:separator/>
      </w:r>
    </w:p>
  </w:footnote>
  <w:footnote w:type="continuationSeparator" w:id="0">
    <w:p w14:paraId="31709087" w14:textId="77777777" w:rsidR="00471BE1" w:rsidRDefault="00471BE1" w:rsidP="0054172F">
      <w:r>
        <w:continuationSeparator/>
      </w:r>
    </w:p>
  </w:footnote>
  <w:footnote w:type="continuationNotice" w:id="1">
    <w:p w14:paraId="391B97F3" w14:textId="77777777" w:rsidR="00471BE1" w:rsidRDefault="00471BE1"/>
  </w:footnote>
  <w:footnote w:id="2">
    <w:p w14:paraId="25785416" w14:textId="73647713" w:rsidR="00023A0A" w:rsidRPr="00F625F0" w:rsidRDefault="00023A0A">
      <w:pPr>
        <w:pStyle w:val="FootnoteText"/>
        <w:rPr>
          <w:lang w:val="el-GR"/>
        </w:rPr>
      </w:pPr>
      <w:r>
        <w:rPr>
          <w:rStyle w:val="FootnoteReference"/>
        </w:rPr>
        <w:footnoteRef/>
      </w:r>
      <w:r w:rsidRPr="00F625F0">
        <w:rPr>
          <w:lang w:val="el-GR"/>
        </w:rPr>
        <w:t xml:space="preserve"> </w:t>
      </w:r>
      <w:r w:rsidRPr="00F625F0">
        <w:rPr>
          <w:sz w:val="16"/>
          <w:szCs w:val="16"/>
          <w:lang w:val="el-GR"/>
        </w:rPr>
        <w:t>Ανάλυση των μεγεθών παρέχεται στους Εναλλακτικούς Δείκτες Μέτρησης και Απόδοσης στο Παράρτημα ΙΙ.</w:t>
      </w:r>
    </w:p>
  </w:footnote>
  <w:footnote w:id="3">
    <w:p w14:paraId="5F231020" w14:textId="77777777" w:rsidR="00176DA5" w:rsidRPr="0004155E" w:rsidRDefault="00176DA5" w:rsidP="00176DA5">
      <w:pPr>
        <w:pStyle w:val="FootnoteText"/>
        <w:rPr>
          <w:sz w:val="16"/>
          <w:szCs w:val="16"/>
          <w:lang w:val="el-GR"/>
        </w:rPr>
      </w:pPr>
      <w:r w:rsidRPr="007571A5">
        <w:rPr>
          <w:rStyle w:val="FootnoteReference"/>
        </w:rPr>
        <w:footnoteRef/>
      </w:r>
      <w:r w:rsidRPr="007571A5">
        <w:rPr>
          <w:rStyle w:val="FootnoteReference"/>
          <w:lang w:val="el-GR"/>
        </w:rPr>
        <w:t xml:space="preserve"> </w:t>
      </w:r>
      <w:r w:rsidRPr="007571A5">
        <w:rPr>
          <w:sz w:val="16"/>
          <w:szCs w:val="16"/>
          <w:lang w:val="el-GR"/>
        </w:rPr>
        <w:t>Ανάλυση των μεγεθών παρέχεται στους Εναλλακτικούς Δείκτες Μέτρησης και Απόδοσης στο Παράρτημα ΙΙ.</w:t>
      </w:r>
      <w:r>
        <w:rPr>
          <w:sz w:val="16"/>
          <w:szCs w:val="16"/>
          <w:lang w:val="el-GR"/>
        </w:rPr>
        <w:t xml:space="preserve"> </w:t>
      </w:r>
    </w:p>
  </w:footnote>
  <w:footnote w:id="4">
    <w:p w14:paraId="0AF7F7F0" w14:textId="77777777" w:rsidR="00DE03D1" w:rsidRPr="006370B9" w:rsidRDefault="00DE03D1" w:rsidP="00DE03D1">
      <w:pPr>
        <w:pStyle w:val="FootnoteText"/>
        <w:rPr>
          <w:lang w:val="el-GR"/>
        </w:rPr>
      </w:pPr>
      <w:r>
        <w:rPr>
          <w:rStyle w:val="FootnoteReference"/>
        </w:rPr>
        <w:footnoteRef/>
      </w:r>
      <w:r w:rsidRPr="006370B9">
        <w:rPr>
          <w:lang w:val="el-GR"/>
        </w:rPr>
        <w:t xml:space="preserve"> </w:t>
      </w:r>
      <w:r w:rsidRPr="00DB2C46">
        <w:rPr>
          <w:sz w:val="16"/>
          <w:szCs w:val="16"/>
          <w:lang w:val="el-GR"/>
        </w:rPr>
        <w:t xml:space="preserve">Με βάση τα στοιχεία της </w:t>
      </w:r>
      <w:proofErr w:type="spellStart"/>
      <w:r w:rsidRPr="00DB2C46">
        <w:rPr>
          <w:sz w:val="16"/>
          <w:szCs w:val="16"/>
        </w:rPr>
        <w:t>Transelectrica</w:t>
      </w:r>
      <w:proofErr w:type="spellEnd"/>
    </w:p>
  </w:footnote>
  <w:footnote w:id="5">
    <w:p w14:paraId="65EF60B7" w14:textId="77777777" w:rsidR="00DE03D1" w:rsidRPr="00D80E92" w:rsidRDefault="00DE03D1" w:rsidP="00DE03D1">
      <w:pPr>
        <w:pStyle w:val="FootnoteText"/>
        <w:rPr>
          <w:sz w:val="16"/>
          <w:szCs w:val="16"/>
          <w:lang w:val="el-GR"/>
        </w:rPr>
      </w:pPr>
      <w:r w:rsidRPr="00D80E92">
        <w:rPr>
          <w:rStyle w:val="FootnoteReference"/>
          <w:sz w:val="16"/>
          <w:szCs w:val="16"/>
        </w:rPr>
        <w:footnoteRef/>
      </w:r>
      <w:r w:rsidRPr="00D80E92">
        <w:rPr>
          <w:sz w:val="16"/>
          <w:szCs w:val="16"/>
          <w:lang w:val="el-GR"/>
        </w:rPr>
        <w:t xml:space="preserve"> </w:t>
      </w:r>
      <w:r w:rsidRPr="00D80E92">
        <w:rPr>
          <w:sz w:val="16"/>
          <w:szCs w:val="16"/>
        </w:rPr>
        <w:t>M</w:t>
      </w:r>
      <w:r w:rsidRPr="00D80E92">
        <w:rPr>
          <w:sz w:val="16"/>
          <w:szCs w:val="16"/>
          <w:lang w:val="el-GR"/>
        </w:rPr>
        <w:t>ε βάση τα στοιχεία του Ομίλου Χρηματιστηρίου Ενέργειας (</w:t>
      </w:r>
      <w:proofErr w:type="spellStart"/>
      <w:r w:rsidRPr="00D80E92">
        <w:rPr>
          <w:sz w:val="16"/>
          <w:szCs w:val="16"/>
        </w:rPr>
        <w:t>EnEx</w:t>
      </w:r>
      <w:proofErr w:type="spellEnd"/>
      <w:r w:rsidRPr="00D80E92">
        <w:rPr>
          <w:sz w:val="16"/>
          <w:szCs w:val="16"/>
          <w:lang w:val="el-GR"/>
        </w:rPr>
        <w:t>)</w:t>
      </w:r>
    </w:p>
  </w:footnote>
  <w:footnote w:id="6">
    <w:p w14:paraId="43C6DF34" w14:textId="77777777" w:rsidR="007B5517" w:rsidRPr="005D2065" w:rsidRDefault="007B5517" w:rsidP="007B5517">
      <w:pPr>
        <w:pStyle w:val="FootnoteText"/>
        <w:rPr>
          <w:lang w:val="el-GR"/>
        </w:rPr>
      </w:pPr>
      <w:r w:rsidRPr="00D80E92">
        <w:rPr>
          <w:rStyle w:val="FootnoteReference"/>
          <w:sz w:val="16"/>
          <w:szCs w:val="16"/>
        </w:rPr>
        <w:footnoteRef/>
      </w:r>
      <w:r w:rsidRPr="00D80E92">
        <w:rPr>
          <w:sz w:val="16"/>
          <w:szCs w:val="16"/>
          <w:lang w:val="el-GR"/>
        </w:rPr>
        <w:t xml:space="preserve"> </w:t>
      </w:r>
      <w:r w:rsidRPr="004A422B">
        <w:rPr>
          <w:sz w:val="16"/>
          <w:szCs w:val="16"/>
          <w:lang w:val="el-GR"/>
        </w:rPr>
        <w:t xml:space="preserve">Εκτίμηση με βάση τα στοιχεία της </w:t>
      </w:r>
      <w:r w:rsidRPr="004A422B">
        <w:rPr>
          <w:sz w:val="16"/>
          <w:szCs w:val="16"/>
        </w:rPr>
        <w:t>ANRE</w:t>
      </w:r>
    </w:p>
  </w:footnote>
  <w:footnote w:id="7">
    <w:p w14:paraId="0F24FF13" w14:textId="77777777" w:rsidR="009D54DF" w:rsidRPr="00D161D7" w:rsidRDefault="009D54DF" w:rsidP="009D54DF">
      <w:pPr>
        <w:pStyle w:val="FootnoteText"/>
        <w:rPr>
          <w:lang w:val="el-GR"/>
        </w:rPr>
      </w:pPr>
      <w:r>
        <w:rPr>
          <w:rStyle w:val="FootnoteReference"/>
        </w:rPr>
        <w:footnoteRef/>
      </w:r>
      <w:r w:rsidRPr="006370B9">
        <w:rPr>
          <w:lang w:val="el-GR"/>
        </w:rPr>
        <w:t xml:space="preserve"> </w:t>
      </w:r>
      <w:r>
        <w:rPr>
          <w:sz w:val="16"/>
          <w:szCs w:val="16"/>
          <w:lang w:val="el-GR"/>
        </w:rPr>
        <w:t>Τα μεγέθη του α’ εξαμήνου 2024 βασίζονται σε απολογιστικά στοιχεία και του α’ εξαμήνου 2025 σε εκτιμήσεις με βάση τα τελευταία διαθέσιμα στοιχεία</w:t>
      </w:r>
    </w:p>
  </w:footnote>
  <w:footnote w:id="8">
    <w:p w14:paraId="0F938234" w14:textId="07CFD674" w:rsidR="00851535" w:rsidRPr="001E560D" w:rsidRDefault="00851535">
      <w:pPr>
        <w:pStyle w:val="FootnoteText"/>
        <w:rPr>
          <w:lang w:val="el-GR"/>
        </w:rPr>
      </w:pPr>
      <w:r>
        <w:rPr>
          <w:rStyle w:val="FootnoteReference"/>
        </w:rPr>
        <w:footnoteRef/>
      </w:r>
      <w:r w:rsidRPr="001E560D">
        <w:rPr>
          <w:lang w:val="el-GR"/>
        </w:rPr>
        <w:t xml:space="preserve"> </w:t>
      </w:r>
      <w:r>
        <w:rPr>
          <w:sz w:val="16"/>
          <w:szCs w:val="16"/>
          <w:lang w:val="el-GR"/>
        </w:rPr>
        <w:t>Τα μεγέθη του α’ εξαμήνου 2024 βασίζονται σε απολογιστικά στοιχεία και του α’ εξαμήνου 2025 σε εκτιμήσεις με βάση τα τελευταία διαθέσιμα στοιχεία</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1A6EF" w14:textId="5C03BB37" w:rsidR="0054172F" w:rsidRDefault="00000000">
    <w:pPr>
      <w:pStyle w:val="Header"/>
    </w:pPr>
    <w:r>
      <w:rPr>
        <w:noProof/>
      </w:rPr>
      <w:pict w14:anchorId="163208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96270" o:spid="_x0000_s1025" type="#_x0000_t75" alt="/Volumes/BriefMe_06/005-DDB/2020/113-DEH/035-PressRealesa/Telikes_Maketes/Press-Release 21x29,7cm-01-72ppi.jpg" style="position:absolute;margin-left:0;margin-top:0;width:297.5pt;height:421pt;z-index:-251656192;mso-wrap-edited:f;mso-position-horizontal:center;mso-position-horizontal-relative:margin;mso-position-vertical:center;mso-position-vertical-relative:margin" o:allowincell="f">
          <v:imagedata r:id="rId1" o:title="Press-Release 21x29,7cm-01-72pp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0AD1C" w14:textId="0CA28D54" w:rsidR="0054172F" w:rsidRDefault="008B0BF1" w:rsidP="00504205">
    <w:pPr>
      <w:pStyle w:val="Header"/>
    </w:pPr>
    <w:r>
      <w:rPr>
        <w:noProof/>
      </w:rPr>
      <w:drawing>
        <wp:anchor distT="0" distB="0" distL="114300" distR="114300" simplePos="0" relativeHeight="251658240" behindDoc="1" locked="0" layoutInCell="1" allowOverlap="1" wp14:anchorId="531482FE" wp14:editId="65B5FC08">
          <wp:simplePos x="0" y="0"/>
          <wp:positionH relativeFrom="page">
            <wp:posOffset>0</wp:posOffset>
          </wp:positionH>
          <wp:positionV relativeFrom="page">
            <wp:posOffset>0</wp:posOffset>
          </wp:positionV>
          <wp:extent cx="7560000" cy="972000"/>
          <wp:effectExtent l="0" t="0" r="0" b="6350"/>
          <wp:wrapNone/>
          <wp:docPr id="679168342" name="Picture 2" descr="A blue and yellow background&#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9168342" name="Picture 2" descr="A blue and yellow background&#10;&#10;AI-generated content may be incorrect."/>
                  <pic:cNvPicPr/>
                </pic:nvPicPr>
                <pic:blipFill>
                  <a:blip r:embed="rId1"/>
                  <a:stretch>
                    <a:fillRect/>
                  </a:stretch>
                </pic:blipFill>
                <pic:spPr>
                  <a:xfrm flipH="1">
                    <a:off x="0" y="0"/>
                    <a:ext cx="7560000" cy="972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CF3D2" w14:textId="3740E589" w:rsidR="00F75AF1" w:rsidRDefault="00595AD2" w:rsidP="00F75AF1">
    <w:pPr>
      <w:tabs>
        <w:tab w:val="left" w:pos="3540"/>
        <w:tab w:val="right" w:pos="10632"/>
      </w:tabs>
      <w:rPr>
        <w:rFonts w:ascii="Ping LCG Regular" w:hAnsi="Ping LCG Regular"/>
        <w:color w:val="FFFFFF" w:themeColor="background1"/>
        <w:sz w:val="40"/>
        <w:szCs w:val="40"/>
        <w:lang w:val="el-GR"/>
      </w:rPr>
    </w:pPr>
    <w:r w:rsidRPr="00FC6F96">
      <w:rPr>
        <w:noProof/>
        <w:sz w:val="40"/>
        <w:szCs w:val="40"/>
      </w:rPr>
      <w:drawing>
        <wp:anchor distT="0" distB="0" distL="114300" distR="114300" simplePos="0" relativeHeight="251656192" behindDoc="1" locked="0" layoutInCell="1" allowOverlap="1" wp14:anchorId="61A7FDEF" wp14:editId="04C597B7">
          <wp:simplePos x="0" y="0"/>
          <wp:positionH relativeFrom="page">
            <wp:posOffset>0</wp:posOffset>
          </wp:positionH>
          <wp:positionV relativeFrom="page">
            <wp:posOffset>69850</wp:posOffset>
          </wp:positionV>
          <wp:extent cx="1979930" cy="1111885"/>
          <wp:effectExtent l="0" t="0" r="0" b="0"/>
          <wp:wrapNone/>
          <wp:docPr id="1808887804" name="Picture 3" descr="A whit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438138" name="Picture 3" descr="A whit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979930" cy="1111885"/>
                  </a:xfrm>
                  <a:prstGeom prst="rect">
                    <a:avLst/>
                  </a:prstGeom>
                </pic:spPr>
              </pic:pic>
            </a:graphicData>
          </a:graphic>
          <wp14:sizeRelH relativeFrom="page">
            <wp14:pctWidth>0</wp14:pctWidth>
          </wp14:sizeRelH>
          <wp14:sizeRelV relativeFrom="page">
            <wp14:pctHeight>0</wp14:pctHeight>
          </wp14:sizeRelV>
        </wp:anchor>
      </w:drawing>
    </w:r>
    <w:r w:rsidR="003B367D" w:rsidRPr="00FC6F96">
      <w:rPr>
        <w:noProof/>
        <w:sz w:val="40"/>
        <w:szCs w:val="40"/>
      </w:rPr>
      <w:drawing>
        <wp:anchor distT="0" distB="0" distL="114300" distR="114300" simplePos="0" relativeHeight="251655168" behindDoc="1" locked="0" layoutInCell="1" allowOverlap="1" wp14:anchorId="40437D32" wp14:editId="4FB278AF">
          <wp:simplePos x="0" y="0"/>
          <wp:positionH relativeFrom="page">
            <wp:posOffset>0</wp:posOffset>
          </wp:positionH>
          <wp:positionV relativeFrom="page">
            <wp:posOffset>0</wp:posOffset>
          </wp:positionV>
          <wp:extent cx="7559675" cy="1249045"/>
          <wp:effectExtent l="0" t="0" r="0" b="0"/>
          <wp:wrapNone/>
          <wp:docPr id="1659557119" name="Picture 2" descr="A blue and yellow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557119" name="Picture 2" descr="A blue and yellow background&#10;&#10;AI-generated content may be incorrect."/>
                  <pic:cNvPicPr/>
                </pic:nvPicPr>
                <pic:blipFill>
                  <a:blip r:embed="rId2"/>
                  <a:stretch>
                    <a:fillRect/>
                  </a:stretch>
                </pic:blipFill>
                <pic:spPr>
                  <a:xfrm>
                    <a:off x="0" y="0"/>
                    <a:ext cx="7559675" cy="1249045"/>
                  </a:xfrm>
                  <a:prstGeom prst="rect">
                    <a:avLst/>
                  </a:prstGeom>
                </pic:spPr>
              </pic:pic>
            </a:graphicData>
          </a:graphic>
          <wp14:sizeRelH relativeFrom="page">
            <wp14:pctWidth>0</wp14:pctWidth>
          </wp14:sizeRelH>
          <wp14:sizeRelV relativeFrom="page">
            <wp14:pctHeight>0</wp14:pctHeight>
          </wp14:sizeRelV>
        </wp:anchor>
      </w:drawing>
    </w:r>
    <w:r w:rsidR="00CA27F7">
      <w:rPr>
        <w:rFonts w:ascii="Ping LCG Regular" w:hAnsi="Ping LCG Regular"/>
        <w:color w:val="FFFFFF" w:themeColor="background1"/>
        <w:sz w:val="40"/>
        <w:szCs w:val="40"/>
        <w:lang w:val="el-GR"/>
      </w:rPr>
      <w:tab/>
    </w:r>
    <w:r w:rsidR="00CA27F7">
      <w:rPr>
        <w:rFonts w:ascii="Ping LCG Regular" w:hAnsi="Ping LCG Regular"/>
        <w:color w:val="FFFFFF" w:themeColor="background1"/>
        <w:sz w:val="40"/>
        <w:szCs w:val="40"/>
        <w:lang w:val="el-GR"/>
      </w:rPr>
      <w:tab/>
    </w:r>
  </w:p>
  <w:p w14:paraId="5838B506" w14:textId="7C9E5E17" w:rsidR="00F75AF1" w:rsidRDefault="00F75AF1" w:rsidP="00F45D9C">
    <w:pPr>
      <w:tabs>
        <w:tab w:val="left" w:pos="3540"/>
        <w:tab w:val="right" w:pos="10632"/>
      </w:tabs>
      <w:jc w:val="right"/>
      <w:rPr>
        <w:rFonts w:ascii="Ping LCG Regular" w:hAnsi="Ping LCG Regular"/>
        <w:color w:val="FFFFFF" w:themeColor="background1"/>
        <w:sz w:val="40"/>
        <w:szCs w:val="40"/>
        <w:lang w:val="el-GR"/>
      </w:rPr>
    </w:pPr>
  </w:p>
  <w:p w14:paraId="2596DB4B" w14:textId="79BD2A39" w:rsidR="00F75AF1" w:rsidRDefault="00F75AF1" w:rsidP="00F75AF1">
    <w:pPr>
      <w:tabs>
        <w:tab w:val="left" w:pos="3540"/>
        <w:tab w:val="right" w:pos="10632"/>
      </w:tabs>
      <w:jc w:val="center"/>
      <w:rPr>
        <w:rFonts w:ascii="Ping LCG Regular" w:hAnsi="Ping LCG Regular"/>
        <w:color w:val="FFFFFF" w:themeColor="background1"/>
        <w:sz w:val="40"/>
        <w:szCs w:val="40"/>
        <w:lang w:val="el-GR"/>
      </w:rPr>
    </w:pPr>
  </w:p>
  <w:p w14:paraId="0159BD0F" w14:textId="2F2A7372" w:rsidR="0054172F" w:rsidRPr="00F75AF1" w:rsidRDefault="00CA27F7" w:rsidP="00D429E8">
    <w:pPr>
      <w:tabs>
        <w:tab w:val="left" w:pos="3540"/>
        <w:tab w:val="right" w:pos="10632"/>
      </w:tabs>
      <w:ind w:right="-829"/>
      <w:jc w:val="right"/>
      <w:rPr>
        <w:rFonts w:ascii="Ping LCG Regular" w:hAnsi="Ping LCG Regular"/>
        <w:color w:val="FFFFFF" w:themeColor="background1"/>
        <w:sz w:val="40"/>
        <w:szCs w:val="40"/>
        <w:lang w:val="el-GR"/>
      </w:rPr>
    </w:pPr>
    <w:r>
      <w:rPr>
        <w:rFonts w:ascii="Ping LCG Regular" w:hAnsi="Ping LCG Regular"/>
        <w:color w:val="FFFFFF" w:themeColor="background1"/>
        <w:sz w:val="40"/>
        <w:szCs w:val="40"/>
        <w:lang w:val="el-GR"/>
      </w:rPr>
      <w:t>Δελτίο Τύπου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2DBC"/>
    <w:multiLevelType w:val="hybridMultilevel"/>
    <w:tmpl w:val="9E58107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01956DB0"/>
    <w:multiLevelType w:val="hybridMultilevel"/>
    <w:tmpl w:val="84FC37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6064C1C"/>
    <w:multiLevelType w:val="hybridMultilevel"/>
    <w:tmpl w:val="27288026"/>
    <w:lvl w:ilvl="0" w:tplc="9144543C">
      <w:start w:val="1"/>
      <w:numFmt w:val="bullet"/>
      <w:lvlText w:val=""/>
      <w:lvlJc w:val="left"/>
      <w:pPr>
        <w:ind w:left="1080" w:hanging="360"/>
      </w:pPr>
      <w:rPr>
        <w:rFonts w:ascii="Symbol" w:hAnsi="Symbol"/>
      </w:rPr>
    </w:lvl>
    <w:lvl w:ilvl="1" w:tplc="0DC24678">
      <w:start w:val="1"/>
      <w:numFmt w:val="bullet"/>
      <w:lvlText w:val=""/>
      <w:lvlJc w:val="left"/>
      <w:pPr>
        <w:ind w:left="1080" w:hanging="360"/>
      </w:pPr>
      <w:rPr>
        <w:rFonts w:ascii="Symbol" w:hAnsi="Symbol"/>
      </w:rPr>
    </w:lvl>
    <w:lvl w:ilvl="2" w:tplc="C60417A0">
      <w:start w:val="1"/>
      <w:numFmt w:val="bullet"/>
      <w:lvlText w:val=""/>
      <w:lvlJc w:val="left"/>
      <w:pPr>
        <w:ind w:left="1080" w:hanging="360"/>
      </w:pPr>
      <w:rPr>
        <w:rFonts w:ascii="Symbol" w:hAnsi="Symbol"/>
      </w:rPr>
    </w:lvl>
    <w:lvl w:ilvl="3" w:tplc="AE1A9116">
      <w:start w:val="1"/>
      <w:numFmt w:val="bullet"/>
      <w:lvlText w:val=""/>
      <w:lvlJc w:val="left"/>
      <w:pPr>
        <w:ind w:left="1080" w:hanging="360"/>
      </w:pPr>
      <w:rPr>
        <w:rFonts w:ascii="Symbol" w:hAnsi="Symbol"/>
      </w:rPr>
    </w:lvl>
    <w:lvl w:ilvl="4" w:tplc="79263734">
      <w:start w:val="1"/>
      <w:numFmt w:val="bullet"/>
      <w:lvlText w:val=""/>
      <w:lvlJc w:val="left"/>
      <w:pPr>
        <w:ind w:left="1080" w:hanging="360"/>
      </w:pPr>
      <w:rPr>
        <w:rFonts w:ascii="Symbol" w:hAnsi="Symbol"/>
      </w:rPr>
    </w:lvl>
    <w:lvl w:ilvl="5" w:tplc="0EF073D4">
      <w:start w:val="1"/>
      <w:numFmt w:val="bullet"/>
      <w:lvlText w:val=""/>
      <w:lvlJc w:val="left"/>
      <w:pPr>
        <w:ind w:left="1080" w:hanging="360"/>
      </w:pPr>
      <w:rPr>
        <w:rFonts w:ascii="Symbol" w:hAnsi="Symbol"/>
      </w:rPr>
    </w:lvl>
    <w:lvl w:ilvl="6" w:tplc="1710113C">
      <w:start w:val="1"/>
      <w:numFmt w:val="bullet"/>
      <w:lvlText w:val=""/>
      <w:lvlJc w:val="left"/>
      <w:pPr>
        <w:ind w:left="1080" w:hanging="360"/>
      </w:pPr>
      <w:rPr>
        <w:rFonts w:ascii="Symbol" w:hAnsi="Symbol"/>
      </w:rPr>
    </w:lvl>
    <w:lvl w:ilvl="7" w:tplc="6C4E471C">
      <w:start w:val="1"/>
      <w:numFmt w:val="bullet"/>
      <w:lvlText w:val=""/>
      <w:lvlJc w:val="left"/>
      <w:pPr>
        <w:ind w:left="1080" w:hanging="360"/>
      </w:pPr>
      <w:rPr>
        <w:rFonts w:ascii="Symbol" w:hAnsi="Symbol"/>
      </w:rPr>
    </w:lvl>
    <w:lvl w:ilvl="8" w:tplc="568A5B94">
      <w:start w:val="1"/>
      <w:numFmt w:val="bullet"/>
      <w:lvlText w:val=""/>
      <w:lvlJc w:val="left"/>
      <w:pPr>
        <w:ind w:left="1080" w:hanging="360"/>
      </w:pPr>
      <w:rPr>
        <w:rFonts w:ascii="Symbol" w:hAnsi="Symbol"/>
      </w:rPr>
    </w:lvl>
  </w:abstractNum>
  <w:abstractNum w:abstractNumId="3" w15:restartNumberingAfterBreak="0">
    <w:nsid w:val="09BA687D"/>
    <w:multiLevelType w:val="hybridMultilevel"/>
    <w:tmpl w:val="2BBC35E6"/>
    <w:lvl w:ilvl="0" w:tplc="4C142C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87159D"/>
    <w:multiLevelType w:val="hybridMultilevel"/>
    <w:tmpl w:val="AA365A92"/>
    <w:lvl w:ilvl="0" w:tplc="E8CA2482">
      <w:start w:val="1"/>
      <w:numFmt w:val="bullet"/>
      <w:lvlText w:val=""/>
      <w:lvlJc w:val="left"/>
      <w:pPr>
        <w:ind w:left="720" w:hanging="360"/>
      </w:pPr>
      <w:rPr>
        <w:rFonts w:ascii="Symbol" w:hAnsi="Symbol"/>
      </w:rPr>
    </w:lvl>
    <w:lvl w:ilvl="1" w:tplc="F8F8D380">
      <w:start w:val="1"/>
      <w:numFmt w:val="bullet"/>
      <w:lvlText w:val=""/>
      <w:lvlJc w:val="left"/>
      <w:pPr>
        <w:ind w:left="720" w:hanging="360"/>
      </w:pPr>
      <w:rPr>
        <w:rFonts w:ascii="Symbol" w:hAnsi="Symbol"/>
      </w:rPr>
    </w:lvl>
    <w:lvl w:ilvl="2" w:tplc="904C6052">
      <w:start w:val="1"/>
      <w:numFmt w:val="bullet"/>
      <w:lvlText w:val=""/>
      <w:lvlJc w:val="left"/>
      <w:pPr>
        <w:ind w:left="720" w:hanging="360"/>
      </w:pPr>
      <w:rPr>
        <w:rFonts w:ascii="Symbol" w:hAnsi="Symbol"/>
      </w:rPr>
    </w:lvl>
    <w:lvl w:ilvl="3" w:tplc="7FAA1CAC">
      <w:start w:val="1"/>
      <w:numFmt w:val="bullet"/>
      <w:lvlText w:val=""/>
      <w:lvlJc w:val="left"/>
      <w:pPr>
        <w:ind w:left="720" w:hanging="360"/>
      </w:pPr>
      <w:rPr>
        <w:rFonts w:ascii="Symbol" w:hAnsi="Symbol"/>
      </w:rPr>
    </w:lvl>
    <w:lvl w:ilvl="4" w:tplc="5508AC86">
      <w:start w:val="1"/>
      <w:numFmt w:val="bullet"/>
      <w:lvlText w:val=""/>
      <w:lvlJc w:val="left"/>
      <w:pPr>
        <w:ind w:left="720" w:hanging="360"/>
      </w:pPr>
      <w:rPr>
        <w:rFonts w:ascii="Symbol" w:hAnsi="Symbol"/>
      </w:rPr>
    </w:lvl>
    <w:lvl w:ilvl="5" w:tplc="238E4F88">
      <w:start w:val="1"/>
      <w:numFmt w:val="bullet"/>
      <w:lvlText w:val=""/>
      <w:lvlJc w:val="left"/>
      <w:pPr>
        <w:ind w:left="720" w:hanging="360"/>
      </w:pPr>
      <w:rPr>
        <w:rFonts w:ascii="Symbol" w:hAnsi="Symbol"/>
      </w:rPr>
    </w:lvl>
    <w:lvl w:ilvl="6" w:tplc="75D25542">
      <w:start w:val="1"/>
      <w:numFmt w:val="bullet"/>
      <w:lvlText w:val=""/>
      <w:lvlJc w:val="left"/>
      <w:pPr>
        <w:ind w:left="720" w:hanging="360"/>
      </w:pPr>
      <w:rPr>
        <w:rFonts w:ascii="Symbol" w:hAnsi="Symbol"/>
      </w:rPr>
    </w:lvl>
    <w:lvl w:ilvl="7" w:tplc="1564E658">
      <w:start w:val="1"/>
      <w:numFmt w:val="bullet"/>
      <w:lvlText w:val=""/>
      <w:lvlJc w:val="left"/>
      <w:pPr>
        <w:ind w:left="720" w:hanging="360"/>
      </w:pPr>
      <w:rPr>
        <w:rFonts w:ascii="Symbol" w:hAnsi="Symbol"/>
      </w:rPr>
    </w:lvl>
    <w:lvl w:ilvl="8" w:tplc="56A8D1E0">
      <w:start w:val="1"/>
      <w:numFmt w:val="bullet"/>
      <w:lvlText w:val=""/>
      <w:lvlJc w:val="left"/>
      <w:pPr>
        <w:ind w:left="720" w:hanging="360"/>
      </w:pPr>
      <w:rPr>
        <w:rFonts w:ascii="Symbol" w:hAnsi="Symbol"/>
      </w:rPr>
    </w:lvl>
  </w:abstractNum>
  <w:abstractNum w:abstractNumId="5" w15:restartNumberingAfterBreak="0">
    <w:nsid w:val="15A76EF7"/>
    <w:multiLevelType w:val="hybridMultilevel"/>
    <w:tmpl w:val="55F2B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C61F6A"/>
    <w:multiLevelType w:val="hybridMultilevel"/>
    <w:tmpl w:val="DA6E5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D0F36"/>
    <w:multiLevelType w:val="hybridMultilevel"/>
    <w:tmpl w:val="8E5E3AC4"/>
    <w:lvl w:ilvl="0" w:tplc="C0C24CB8">
      <w:start w:val="1"/>
      <w:numFmt w:val="bullet"/>
      <w:lvlText w:val=""/>
      <w:lvlJc w:val="left"/>
      <w:pPr>
        <w:ind w:left="720" w:hanging="360"/>
      </w:pPr>
      <w:rPr>
        <w:rFonts w:ascii="Symbol" w:hAnsi="Symbol"/>
      </w:rPr>
    </w:lvl>
    <w:lvl w:ilvl="1" w:tplc="C7B04B52">
      <w:start w:val="1"/>
      <w:numFmt w:val="bullet"/>
      <w:lvlText w:val=""/>
      <w:lvlJc w:val="left"/>
      <w:pPr>
        <w:ind w:left="720" w:hanging="360"/>
      </w:pPr>
      <w:rPr>
        <w:rFonts w:ascii="Symbol" w:hAnsi="Symbol"/>
      </w:rPr>
    </w:lvl>
    <w:lvl w:ilvl="2" w:tplc="EE3CF544">
      <w:start w:val="1"/>
      <w:numFmt w:val="bullet"/>
      <w:lvlText w:val=""/>
      <w:lvlJc w:val="left"/>
      <w:pPr>
        <w:ind w:left="720" w:hanging="360"/>
      </w:pPr>
      <w:rPr>
        <w:rFonts w:ascii="Symbol" w:hAnsi="Symbol"/>
      </w:rPr>
    </w:lvl>
    <w:lvl w:ilvl="3" w:tplc="D21C0C0C">
      <w:start w:val="1"/>
      <w:numFmt w:val="bullet"/>
      <w:lvlText w:val=""/>
      <w:lvlJc w:val="left"/>
      <w:pPr>
        <w:ind w:left="720" w:hanging="360"/>
      </w:pPr>
      <w:rPr>
        <w:rFonts w:ascii="Symbol" w:hAnsi="Symbol"/>
      </w:rPr>
    </w:lvl>
    <w:lvl w:ilvl="4" w:tplc="82EC37BC">
      <w:start w:val="1"/>
      <w:numFmt w:val="bullet"/>
      <w:lvlText w:val=""/>
      <w:lvlJc w:val="left"/>
      <w:pPr>
        <w:ind w:left="720" w:hanging="360"/>
      </w:pPr>
      <w:rPr>
        <w:rFonts w:ascii="Symbol" w:hAnsi="Symbol"/>
      </w:rPr>
    </w:lvl>
    <w:lvl w:ilvl="5" w:tplc="8E249C90">
      <w:start w:val="1"/>
      <w:numFmt w:val="bullet"/>
      <w:lvlText w:val=""/>
      <w:lvlJc w:val="left"/>
      <w:pPr>
        <w:ind w:left="720" w:hanging="360"/>
      </w:pPr>
      <w:rPr>
        <w:rFonts w:ascii="Symbol" w:hAnsi="Symbol"/>
      </w:rPr>
    </w:lvl>
    <w:lvl w:ilvl="6" w:tplc="C9D46DE0">
      <w:start w:val="1"/>
      <w:numFmt w:val="bullet"/>
      <w:lvlText w:val=""/>
      <w:lvlJc w:val="left"/>
      <w:pPr>
        <w:ind w:left="720" w:hanging="360"/>
      </w:pPr>
      <w:rPr>
        <w:rFonts w:ascii="Symbol" w:hAnsi="Symbol"/>
      </w:rPr>
    </w:lvl>
    <w:lvl w:ilvl="7" w:tplc="9F2259F6">
      <w:start w:val="1"/>
      <w:numFmt w:val="bullet"/>
      <w:lvlText w:val=""/>
      <w:lvlJc w:val="left"/>
      <w:pPr>
        <w:ind w:left="720" w:hanging="360"/>
      </w:pPr>
      <w:rPr>
        <w:rFonts w:ascii="Symbol" w:hAnsi="Symbol"/>
      </w:rPr>
    </w:lvl>
    <w:lvl w:ilvl="8" w:tplc="852EB8DC">
      <w:start w:val="1"/>
      <w:numFmt w:val="bullet"/>
      <w:lvlText w:val=""/>
      <w:lvlJc w:val="left"/>
      <w:pPr>
        <w:ind w:left="720" w:hanging="360"/>
      </w:pPr>
      <w:rPr>
        <w:rFonts w:ascii="Symbol" w:hAnsi="Symbol"/>
      </w:rPr>
    </w:lvl>
  </w:abstractNum>
  <w:abstractNum w:abstractNumId="8" w15:restartNumberingAfterBreak="0">
    <w:nsid w:val="24342735"/>
    <w:multiLevelType w:val="hybridMultilevel"/>
    <w:tmpl w:val="1C32F6D4"/>
    <w:lvl w:ilvl="0" w:tplc="DB781F1E">
      <w:numFmt w:val="bullet"/>
      <w:lvlText w:val="-"/>
      <w:lvlJc w:val="left"/>
      <w:pPr>
        <w:ind w:left="720" w:hanging="360"/>
      </w:pPr>
      <w:rPr>
        <w:rFonts w:ascii="Ping LCG Regular" w:eastAsiaTheme="minorHAnsi" w:hAnsi="Ping LCG Regula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1C727F"/>
    <w:multiLevelType w:val="hybridMultilevel"/>
    <w:tmpl w:val="A5C2B7DE"/>
    <w:lvl w:ilvl="0" w:tplc="9EDCC9D4">
      <w:start w:val="12"/>
      <w:numFmt w:val="bullet"/>
      <w:lvlText w:val="-"/>
      <w:lvlJc w:val="left"/>
      <w:pPr>
        <w:ind w:left="360" w:hanging="360"/>
      </w:pPr>
      <w:rPr>
        <w:rFonts w:ascii="Arial" w:eastAsia="Times New Roman" w:hAnsi="Arial" w:cs="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EF1D79"/>
    <w:multiLevelType w:val="hybridMultilevel"/>
    <w:tmpl w:val="A2DEC630"/>
    <w:lvl w:ilvl="0" w:tplc="4F0A8ADE">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FAC7773"/>
    <w:multiLevelType w:val="hybridMultilevel"/>
    <w:tmpl w:val="7A601456"/>
    <w:lvl w:ilvl="0" w:tplc="714A9320">
      <w:start w:val="1"/>
      <w:numFmt w:val="bullet"/>
      <w:lvlText w:val=""/>
      <w:lvlJc w:val="left"/>
      <w:pPr>
        <w:ind w:left="720" w:hanging="360"/>
      </w:pPr>
      <w:rPr>
        <w:rFonts w:ascii="Symbol" w:hAnsi="Symbol"/>
      </w:rPr>
    </w:lvl>
    <w:lvl w:ilvl="1" w:tplc="DAC07072">
      <w:start w:val="1"/>
      <w:numFmt w:val="bullet"/>
      <w:lvlText w:val=""/>
      <w:lvlJc w:val="left"/>
      <w:pPr>
        <w:ind w:left="720" w:hanging="360"/>
      </w:pPr>
      <w:rPr>
        <w:rFonts w:ascii="Symbol" w:hAnsi="Symbol"/>
      </w:rPr>
    </w:lvl>
    <w:lvl w:ilvl="2" w:tplc="28A23BBC">
      <w:start w:val="1"/>
      <w:numFmt w:val="bullet"/>
      <w:lvlText w:val=""/>
      <w:lvlJc w:val="left"/>
      <w:pPr>
        <w:ind w:left="720" w:hanging="360"/>
      </w:pPr>
      <w:rPr>
        <w:rFonts w:ascii="Symbol" w:hAnsi="Symbol"/>
      </w:rPr>
    </w:lvl>
    <w:lvl w:ilvl="3" w:tplc="0B841056">
      <w:start w:val="1"/>
      <w:numFmt w:val="bullet"/>
      <w:lvlText w:val=""/>
      <w:lvlJc w:val="left"/>
      <w:pPr>
        <w:ind w:left="720" w:hanging="360"/>
      </w:pPr>
      <w:rPr>
        <w:rFonts w:ascii="Symbol" w:hAnsi="Symbol"/>
      </w:rPr>
    </w:lvl>
    <w:lvl w:ilvl="4" w:tplc="FC82C76E">
      <w:start w:val="1"/>
      <w:numFmt w:val="bullet"/>
      <w:lvlText w:val=""/>
      <w:lvlJc w:val="left"/>
      <w:pPr>
        <w:ind w:left="720" w:hanging="360"/>
      </w:pPr>
      <w:rPr>
        <w:rFonts w:ascii="Symbol" w:hAnsi="Symbol"/>
      </w:rPr>
    </w:lvl>
    <w:lvl w:ilvl="5" w:tplc="547EB6E8">
      <w:start w:val="1"/>
      <w:numFmt w:val="bullet"/>
      <w:lvlText w:val=""/>
      <w:lvlJc w:val="left"/>
      <w:pPr>
        <w:ind w:left="720" w:hanging="360"/>
      </w:pPr>
      <w:rPr>
        <w:rFonts w:ascii="Symbol" w:hAnsi="Symbol"/>
      </w:rPr>
    </w:lvl>
    <w:lvl w:ilvl="6" w:tplc="831AF712">
      <w:start w:val="1"/>
      <w:numFmt w:val="bullet"/>
      <w:lvlText w:val=""/>
      <w:lvlJc w:val="left"/>
      <w:pPr>
        <w:ind w:left="720" w:hanging="360"/>
      </w:pPr>
      <w:rPr>
        <w:rFonts w:ascii="Symbol" w:hAnsi="Symbol"/>
      </w:rPr>
    </w:lvl>
    <w:lvl w:ilvl="7" w:tplc="2800D586">
      <w:start w:val="1"/>
      <w:numFmt w:val="bullet"/>
      <w:lvlText w:val=""/>
      <w:lvlJc w:val="left"/>
      <w:pPr>
        <w:ind w:left="720" w:hanging="360"/>
      </w:pPr>
      <w:rPr>
        <w:rFonts w:ascii="Symbol" w:hAnsi="Symbol"/>
      </w:rPr>
    </w:lvl>
    <w:lvl w:ilvl="8" w:tplc="33D61CF6">
      <w:start w:val="1"/>
      <w:numFmt w:val="bullet"/>
      <w:lvlText w:val=""/>
      <w:lvlJc w:val="left"/>
      <w:pPr>
        <w:ind w:left="720" w:hanging="360"/>
      </w:pPr>
      <w:rPr>
        <w:rFonts w:ascii="Symbol" w:hAnsi="Symbol"/>
      </w:rPr>
    </w:lvl>
  </w:abstractNum>
  <w:abstractNum w:abstractNumId="12" w15:restartNumberingAfterBreak="0">
    <w:nsid w:val="485D58DC"/>
    <w:multiLevelType w:val="hybridMultilevel"/>
    <w:tmpl w:val="886C0C90"/>
    <w:lvl w:ilvl="0" w:tplc="6DD872AE">
      <w:start w:val="1"/>
      <w:numFmt w:val="bullet"/>
      <w:lvlText w:val=""/>
      <w:lvlJc w:val="left"/>
      <w:pPr>
        <w:ind w:left="720" w:hanging="360"/>
      </w:pPr>
      <w:rPr>
        <w:rFonts w:ascii="Symbol" w:hAnsi="Symbol"/>
      </w:rPr>
    </w:lvl>
    <w:lvl w:ilvl="1" w:tplc="EF60CA7E">
      <w:start w:val="1"/>
      <w:numFmt w:val="bullet"/>
      <w:lvlText w:val=""/>
      <w:lvlJc w:val="left"/>
      <w:pPr>
        <w:ind w:left="720" w:hanging="360"/>
      </w:pPr>
      <w:rPr>
        <w:rFonts w:ascii="Symbol" w:hAnsi="Symbol"/>
      </w:rPr>
    </w:lvl>
    <w:lvl w:ilvl="2" w:tplc="DC6CABD4">
      <w:start w:val="1"/>
      <w:numFmt w:val="bullet"/>
      <w:lvlText w:val=""/>
      <w:lvlJc w:val="left"/>
      <w:pPr>
        <w:ind w:left="720" w:hanging="360"/>
      </w:pPr>
      <w:rPr>
        <w:rFonts w:ascii="Symbol" w:hAnsi="Symbol"/>
      </w:rPr>
    </w:lvl>
    <w:lvl w:ilvl="3" w:tplc="5D085A9E">
      <w:start w:val="1"/>
      <w:numFmt w:val="bullet"/>
      <w:lvlText w:val=""/>
      <w:lvlJc w:val="left"/>
      <w:pPr>
        <w:ind w:left="720" w:hanging="360"/>
      </w:pPr>
      <w:rPr>
        <w:rFonts w:ascii="Symbol" w:hAnsi="Symbol"/>
      </w:rPr>
    </w:lvl>
    <w:lvl w:ilvl="4" w:tplc="E600206A">
      <w:start w:val="1"/>
      <w:numFmt w:val="bullet"/>
      <w:lvlText w:val=""/>
      <w:lvlJc w:val="left"/>
      <w:pPr>
        <w:ind w:left="720" w:hanging="360"/>
      </w:pPr>
      <w:rPr>
        <w:rFonts w:ascii="Symbol" w:hAnsi="Symbol"/>
      </w:rPr>
    </w:lvl>
    <w:lvl w:ilvl="5" w:tplc="C29EA2B2">
      <w:start w:val="1"/>
      <w:numFmt w:val="bullet"/>
      <w:lvlText w:val=""/>
      <w:lvlJc w:val="left"/>
      <w:pPr>
        <w:ind w:left="720" w:hanging="360"/>
      </w:pPr>
      <w:rPr>
        <w:rFonts w:ascii="Symbol" w:hAnsi="Symbol"/>
      </w:rPr>
    </w:lvl>
    <w:lvl w:ilvl="6" w:tplc="0DCC9644">
      <w:start w:val="1"/>
      <w:numFmt w:val="bullet"/>
      <w:lvlText w:val=""/>
      <w:lvlJc w:val="left"/>
      <w:pPr>
        <w:ind w:left="720" w:hanging="360"/>
      </w:pPr>
      <w:rPr>
        <w:rFonts w:ascii="Symbol" w:hAnsi="Symbol"/>
      </w:rPr>
    </w:lvl>
    <w:lvl w:ilvl="7" w:tplc="27380D48">
      <w:start w:val="1"/>
      <w:numFmt w:val="bullet"/>
      <w:lvlText w:val=""/>
      <w:lvlJc w:val="left"/>
      <w:pPr>
        <w:ind w:left="720" w:hanging="360"/>
      </w:pPr>
      <w:rPr>
        <w:rFonts w:ascii="Symbol" w:hAnsi="Symbol"/>
      </w:rPr>
    </w:lvl>
    <w:lvl w:ilvl="8" w:tplc="F77044CE">
      <w:start w:val="1"/>
      <w:numFmt w:val="bullet"/>
      <w:lvlText w:val=""/>
      <w:lvlJc w:val="left"/>
      <w:pPr>
        <w:ind w:left="720" w:hanging="360"/>
      </w:pPr>
      <w:rPr>
        <w:rFonts w:ascii="Symbol" w:hAnsi="Symbol"/>
      </w:rPr>
    </w:lvl>
  </w:abstractNum>
  <w:abstractNum w:abstractNumId="13" w15:restartNumberingAfterBreak="0">
    <w:nsid w:val="52048C1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3CF38C4"/>
    <w:multiLevelType w:val="hybridMultilevel"/>
    <w:tmpl w:val="0A408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4F9610B"/>
    <w:multiLevelType w:val="hybridMultilevel"/>
    <w:tmpl w:val="A0DCAA9C"/>
    <w:lvl w:ilvl="0" w:tplc="5AF862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5F0A46"/>
    <w:multiLevelType w:val="hybridMultilevel"/>
    <w:tmpl w:val="5718C70C"/>
    <w:lvl w:ilvl="0" w:tplc="9B92B656">
      <w:start w:val="1"/>
      <w:numFmt w:val="bullet"/>
      <w:lvlText w:val="n"/>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6B322877"/>
    <w:multiLevelType w:val="hybridMultilevel"/>
    <w:tmpl w:val="5F246BE4"/>
    <w:lvl w:ilvl="0" w:tplc="0408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6DE707D9"/>
    <w:multiLevelType w:val="hybridMultilevel"/>
    <w:tmpl w:val="84DA23F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12B4092"/>
    <w:multiLevelType w:val="hybridMultilevel"/>
    <w:tmpl w:val="C3369D3A"/>
    <w:lvl w:ilvl="0" w:tplc="0408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728B7D05"/>
    <w:multiLevelType w:val="hybridMultilevel"/>
    <w:tmpl w:val="C382F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776108"/>
    <w:multiLevelType w:val="hybridMultilevel"/>
    <w:tmpl w:val="678037EA"/>
    <w:lvl w:ilvl="0" w:tplc="9B92B656">
      <w:start w:val="1"/>
      <w:numFmt w:val="bullet"/>
      <w:lvlText w:val="n"/>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15032382">
    <w:abstractNumId w:val="18"/>
  </w:num>
  <w:num w:numId="2" w16cid:durableId="542209210">
    <w:abstractNumId w:val="16"/>
  </w:num>
  <w:num w:numId="3" w16cid:durableId="689646081">
    <w:abstractNumId w:val="21"/>
  </w:num>
  <w:num w:numId="4" w16cid:durableId="1604342890">
    <w:abstractNumId w:val="17"/>
  </w:num>
  <w:num w:numId="5" w16cid:durableId="1900900844">
    <w:abstractNumId w:val="19"/>
  </w:num>
  <w:num w:numId="6" w16cid:durableId="661660842">
    <w:abstractNumId w:val="0"/>
  </w:num>
  <w:num w:numId="7" w16cid:durableId="1574581921">
    <w:abstractNumId w:val="1"/>
  </w:num>
  <w:num w:numId="8" w16cid:durableId="1417750542">
    <w:abstractNumId w:val="17"/>
  </w:num>
  <w:num w:numId="9" w16cid:durableId="167446193">
    <w:abstractNumId w:val="8"/>
  </w:num>
  <w:num w:numId="10" w16cid:durableId="625352236">
    <w:abstractNumId w:val="20"/>
  </w:num>
  <w:num w:numId="11" w16cid:durableId="961695150">
    <w:abstractNumId w:val="5"/>
  </w:num>
  <w:num w:numId="12" w16cid:durableId="160629590">
    <w:abstractNumId w:val="14"/>
  </w:num>
  <w:num w:numId="13" w16cid:durableId="1317878920">
    <w:abstractNumId w:val="3"/>
  </w:num>
  <w:num w:numId="14" w16cid:durableId="1662345728">
    <w:abstractNumId w:val="9"/>
  </w:num>
  <w:num w:numId="15" w16cid:durableId="627929397">
    <w:abstractNumId w:val="15"/>
  </w:num>
  <w:num w:numId="16" w16cid:durableId="1509326642">
    <w:abstractNumId w:val="10"/>
  </w:num>
  <w:num w:numId="17" w16cid:durableId="2032368816">
    <w:abstractNumId w:val="12"/>
  </w:num>
  <w:num w:numId="18" w16cid:durableId="632635270">
    <w:abstractNumId w:val="13"/>
  </w:num>
  <w:num w:numId="19" w16cid:durableId="126973774">
    <w:abstractNumId w:val="4"/>
  </w:num>
  <w:num w:numId="20" w16cid:durableId="997656533">
    <w:abstractNumId w:val="7"/>
  </w:num>
  <w:num w:numId="21" w16cid:durableId="707530389">
    <w:abstractNumId w:val="11"/>
  </w:num>
  <w:num w:numId="22" w16cid:durableId="1320695721">
    <w:abstractNumId w:val="2"/>
  </w:num>
  <w:num w:numId="23" w16cid:durableId="17084104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72F"/>
    <w:rsid w:val="00000B90"/>
    <w:rsid w:val="00000EE3"/>
    <w:rsid w:val="000012B6"/>
    <w:rsid w:val="000018B0"/>
    <w:rsid w:val="00001C4A"/>
    <w:rsid w:val="00001D4A"/>
    <w:rsid w:val="00002298"/>
    <w:rsid w:val="000029A9"/>
    <w:rsid w:val="0000343E"/>
    <w:rsid w:val="00003515"/>
    <w:rsid w:val="0000389A"/>
    <w:rsid w:val="00004105"/>
    <w:rsid w:val="0000421A"/>
    <w:rsid w:val="00004FCA"/>
    <w:rsid w:val="00005178"/>
    <w:rsid w:val="00005624"/>
    <w:rsid w:val="00005871"/>
    <w:rsid w:val="00005B4C"/>
    <w:rsid w:val="00005E9F"/>
    <w:rsid w:val="000062C5"/>
    <w:rsid w:val="000063DF"/>
    <w:rsid w:val="000068B2"/>
    <w:rsid w:val="00006AE6"/>
    <w:rsid w:val="00006CF9"/>
    <w:rsid w:val="00006F1F"/>
    <w:rsid w:val="00007045"/>
    <w:rsid w:val="0000717C"/>
    <w:rsid w:val="0000730B"/>
    <w:rsid w:val="00007361"/>
    <w:rsid w:val="0000768F"/>
    <w:rsid w:val="000078B3"/>
    <w:rsid w:val="000101DB"/>
    <w:rsid w:val="00010801"/>
    <w:rsid w:val="0001112B"/>
    <w:rsid w:val="00011963"/>
    <w:rsid w:val="00011FD0"/>
    <w:rsid w:val="00011FF4"/>
    <w:rsid w:val="000123F3"/>
    <w:rsid w:val="000126F2"/>
    <w:rsid w:val="0001309B"/>
    <w:rsid w:val="00013A9A"/>
    <w:rsid w:val="0001421E"/>
    <w:rsid w:val="000142E2"/>
    <w:rsid w:val="00014624"/>
    <w:rsid w:val="00015B62"/>
    <w:rsid w:val="000164ED"/>
    <w:rsid w:val="000165C2"/>
    <w:rsid w:val="000168AF"/>
    <w:rsid w:val="000169EA"/>
    <w:rsid w:val="000171F8"/>
    <w:rsid w:val="00017297"/>
    <w:rsid w:val="000200E5"/>
    <w:rsid w:val="00020297"/>
    <w:rsid w:val="00020680"/>
    <w:rsid w:val="00020966"/>
    <w:rsid w:val="00020A98"/>
    <w:rsid w:val="0002120E"/>
    <w:rsid w:val="00021C11"/>
    <w:rsid w:val="00021C80"/>
    <w:rsid w:val="00021EE8"/>
    <w:rsid w:val="00022266"/>
    <w:rsid w:val="00022D76"/>
    <w:rsid w:val="000234AD"/>
    <w:rsid w:val="00023A0A"/>
    <w:rsid w:val="00023D14"/>
    <w:rsid w:val="00023D55"/>
    <w:rsid w:val="00024230"/>
    <w:rsid w:val="000243CD"/>
    <w:rsid w:val="000247EA"/>
    <w:rsid w:val="00024C0E"/>
    <w:rsid w:val="000258D9"/>
    <w:rsid w:val="0002671F"/>
    <w:rsid w:val="000269AF"/>
    <w:rsid w:val="00027292"/>
    <w:rsid w:val="00027678"/>
    <w:rsid w:val="000278E0"/>
    <w:rsid w:val="0002791D"/>
    <w:rsid w:val="0003011A"/>
    <w:rsid w:val="00030616"/>
    <w:rsid w:val="00030A10"/>
    <w:rsid w:val="00030C1E"/>
    <w:rsid w:val="00030D67"/>
    <w:rsid w:val="00031284"/>
    <w:rsid w:val="0003161F"/>
    <w:rsid w:val="000318E5"/>
    <w:rsid w:val="00031F40"/>
    <w:rsid w:val="00032ECD"/>
    <w:rsid w:val="0003309E"/>
    <w:rsid w:val="00033784"/>
    <w:rsid w:val="00033953"/>
    <w:rsid w:val="00033FBA"/>
    <w:rsid w:val="00034203"/>
    <w:rsid w:val="000342E8"/>
    <w:rsid w:val="00034487"/>
    <w:rsid w:val="00034BBF"/>
    <w:rsid w:val="00034F16"/>
    <w:rsid w:val="000352F3"/>
    <w:rsid w:val="000355CC"/>
    <w:rsid w:val="000357C4"/>
    <w:rsid w:val="00035927"/>
    <w:rsid w:val="000359BE"/>
    <w:rsid w:val="00035FE1"/>
    <w:rsid w:val="0003604A"/>
    <w:rsid w:val="000361E0"/>
    <w:rsid w:val="00036368"/>
    <w:rsid w:val="00036594"/>
    <w:rsid w:val="0003691C"/>
    <w:rsid w:val="0003707B"/>
    <w:rsid w:val="00037178"/>
    <w:rsid w:val="000373CD"/>
    <w:rsid w:val="000373D9"/>
    <w:rsid w:val="0003750C"/>
    <w:rsid w:val="00037728"/>
    <w:rsid w:val="0003794A"/>
    <w:rsid w:val="00037A1F"/>
    <w:rsid w:val="00037AAB"/>
    <w:rsid w:val="00037BFC"/>
    <w:rsid w:val="00037CB7"/>
    <w:rsid w:val="00040330"/>
    <w:rsid w:val="00040371"/>
    <w:rsid w:val="00040547"/>
    <w:rsid w:val="000409CC"/>
    <w:rsid w:val="00040BAE"/>
    <w:rsid w:val="00040F50"/>
    <w:rsid w:val="00040FC6"/>
    <w:rsid w:val="000410BA"/>
    <w:rsid w:val="0004150D"/>
    <w:rsid w:val="0004155E"/>
    <w:rsid w:val="00041F1F"/>
    <w:rsid w:val="000420FB"/>
    <w:rsid w:val="0004234F"/>
    <w:rsid w:val="000429FD"/>
    <w:rsid w:val="00042BBA"/>
    <w:rsid w:val="00043E1D"/>
    <w:rsid w:val="000441CA"/>
    <w:rsid w:val="00044B43"/>
    <w:rsid w:val="00044E64"/>
    <w:rsid w:val="00044E6D"/>
    <w:rsid w:val="0004552A"/>
    <w:rsid w:val="00045BDC"/>
    <w:rsid w:val="00045E47"/>
    <w:rsid w:val="00045FE6"/>
    <w:rsid w:val="000465E4"/>
    <w:rsid w:val="000466CD"/>
    <w:rsid w:val="00046EE0"/>
    <w:rsid w:val="00046F32"/>
    <w:rsid w:val="000473B1"/>
    <w:rsid w:val="0005002E"/>
    <w:rsid w:val="000502EF"/>
    <w:rsid w:val="00050545"/>
    <w:rsid w:val="00050B1E"/>
    <w:rsid w:val="00051089"/>
    <w:rsid w:val="000518AA"/>
    <w:rsid w:val="000518E9"/>
    <w:rsid w:val="00051F5D"/>
    <w:rsid w:val="00051FD9"/>
    <w:rsid w:val="0005251A"/>
    <w:rsid w:val="00052663"/>
    <w:rsid w:val="000528FE"/>
    <w:rsid w:val="000530D6"/>
    <w:rsid w:val="00053987"/>
    <w:rsid w:val="00053B59"/>
    <w:rsid w:val="00054068"/>
    <w:rsid w:val="000543A8"/>
    <w:rsid w:val="000545CB"/>
    <w:rsid w:val="0005464C"/>
    <w:rsid w:val="00055634"/>
    <w:rsid w:val="000556A6"/>
    <w:rsid w:val="00055B73"/>
    <w:rsid w:val="00056356"/>
    <w:rsid w:val="00056391"/>
    <w:rsid w:val="00056928"/>
    <w:rsid w:val="00057401"/>
    <w:rsid w:val="00057EDA"/>
    <w:rsid w:val="000601A4"/>
    <w:rsid w:val="000601F9"/>
    <w:rsid w:val="000605A2"/>
    <w:rsid w:val="000605A7"/>
    <w:rsid w:val="00061290"/>
    <w:rsid w:val="00061728"/>
    <w:rsid w:val="000617E6"/>
    <w:rsid w:val="00062316"/>
    <w:rsid w:val="0006269A"/>
    <w:rsid w:val="000629E4"/>
    <w:rsid w:val="00063029"/>
    <w:rsid w:val="00063355"/>
    <w:rsid w:val="0006337B"/>
    <w:rsid w:val="00063407"/>
    <w:rsid w:val="000637A1"/>
    <w:rsid w:val="000639AB"/>
    <w:rsid w:val="00063B17"/>
    <w:rsid w:val="00063DA7"/>
    <w:rsid w:val="00063E65"/>
    <w:rsid w:val="000640E7"/>
    <w:rsid w:val="0006441B"/>
    <w:rsid w:val="000644F2"/>
    <w:rsid w:val="0006452A"/>
    <w:rsid w:val="0006466A"/>
    <w:rsid w:val="000653CD"/>
    <w:rsid w:val="000654F5"/>
    <w:rsid w:val="00065771"/>
    <w:rsid w:val="000658B3"/>
    <w:rsid w:val="000659E5"/>
    <w:rsid w:val="00066200"/>
    <w:rsid w:val="00066B25"/>
    <w:rsid w:val="000674AE"/>
    <w:rsid w:val="000700FC"/>
    <w:rsid w:val="00070772"/>
    <w:rsid w:val="00070802"/>
    <w:rsid w:val="00070909"/>
    <w:rsid w:val="00070DBB"/>
    <w:rsid w:val="00071088"/>
    <w:rsid w:val="000710E2"/>
    <w:rsid w:val="000711B8"/>
    <w:rsid w:val="00071661"/>
    <w:rsid w:val="00071D88"/>
    <w:rsid w:val="00071DAE"/>
    <w:rsid w:val="00071F1D"/>
    <w:rsid w:val="00072349"/>
    <w:rsid w:val="00072849"/>
    <w:rsid w:val="00072957"/>
    <w:rsid w:val="00072974"/>
    <w:rsid w:val="00072BE3"/>
    <w:rsid w:val="00072E82"/>
    <w:rsid w:val="00073206"/>
    <w:rsid w:val="0007354E"/>
    <w:rsid w:val="00073A06"/>
    <w:rsid w:val="00073E97"/>
    <w:rsid w:val="00073F0A"/>
    <w:rsid w:val="0007492C"/>
    <w:rsid w:val="0007496B"/>
    <w:rsid w:val="00074ADA"/>
    <w:rsid w:val="00074D34"/>
    <w:rsid w:val="00074E79"/>
    <w:rsid w:val="00074E93"/>
    <w:rsid w:val="00075A52"/>
    <w:rsid w:val="00075F75"/>
    <w:rsid w:val="00076678"/>
    <w:rsid w:val="000766EE"/>
    <w:rsid w:val="0007681F"/>
    <w:rsid w:val="0007684C"/>
    <w:rsid w:val="00076DA3"/>
    <w:rsid w:val="00076DE3"/>
    <w:rsid w:val="00077CF2"/>
    <w:rsid w:val="00077F74"/>
    <w:rsid w:val="000800A0"/>
    <w:rsid w:val="0008062F"/>
    <w:rsid w:val="00080A08"/>
    <w:rsid w:val="00080CC5"/>
    <w:rsid w:val="00080FC7"/>
    <w:rsid w:val="00080FC8"/>
    <w:rsid w:val="00080FDE"/>
    <w:rsid w:val="0008133F"/>
    <w:rsid w:val="000817FA"/>
    <w:rsid w:val="0008194D"/>
    <w:rsid w:val="00081E12"/>
    <w:rsid w:val="0008244C"/>
    <w:rsid w:val="0008282B"/>
    <w:rsid w:val="000833FB"/>
    <w:rsid w:val="00083ACE"/>
    <w:rsid w:val="00084368"/>
    <w:rsid w:val="00084467"/>
    <w:rsid w:val="00084687"/>
    <w:rsid w:val="00084F67"/>
    <w:rsid w:val="00085A07"/>
    <w:rsid w:val="00085F3C"/>
    <w:rsid w:val="00086234"/>
    <w:rsid w:val="00086238"/>
    <w:rsid w:val="0008681E"/>
    <w:rsid w:val="00086F77"/>
    <w:rsid w:val="000873B5"/>
    <w:rsid w:val="00087E22"/>
    <w:rsid w:val="000903DA"/>
    <w:rsid w:val="00090A25"/>
    <w:rsid w:val="00090EBD"/>
    <w:rsid w:val="00090F06"/>
    <w:rsid w:val="0009108B"/>
    <w:rsid w:val="00091714"/>
    <w:rsid w:val="00091869"/>
    <w:rsid w:val="00091B71"/>
    <w:rsid w:val="00091DB9"/>
    <w:rsid w:val="00092142"/>
    <w:rsid w:val="00092172"/>
    <w:rsid w:val="00092366"/>
    <w:rsid w:val="00092392"/>
    <w:rsid w:val="000923AE"/>
    <w:rsid w:val="00092432"/>
    <w:rsid w:val="00092D10"/>
    <w:rsid w:val="00092D74"/>
    <w:rsid w:val="00092D85"/>
    <w:rsid w:val="000930F1"/>
    <w:rsid w:val="000937A9"/>
    <w:rsid w:val="00093DB5"/>
    <w:rsid w:val="0009400F"/>
    <w:rsid w:val="00094322"/>
    <w:rsid w:val="00094530"/>
    <w:rsid w:val="0009469D"/>
    <w:rsid w:val="0009475A"/>
    <w:rsid w:val="0009479C"/>
    <w:rsid w:val="0009495F"/>
    <w:rsid w:val="00094AA8"/>
    <w:rsid w:val="00094F95"/>
    <w:rsid w:val="000956DB"/>
    <w:rsid w:val="00095AFB"/>
    <w:rsid w:val="00095C53"/>
    <w:rsid w:val="00096107"/>
    <w:rsid w:val="000968F4"/>
    <w:rsid w:val="00096C95"/>
    <w:rsid w:val="0009704F"/>
    <w:rsid w:val="0009735C"/>
    <w:rsid w:val="000A0136"/>
    <w:rsid w:val="000A02F1"/>
    <w:rsid w:val="000A04C8"/>
    <w:rsid w:val="000A06DC"/>
    <w:rsid w:val="000A081A"/>
    <w:rsid w:val="000A094C"/>
    <w:rsid w:val="000A0B1C"/>
    <w:rsid w:val="000A192E"/>
    <w:rsid w:val="000A198E"/>
    <w:rsid w:val="000A1ECB"/>
    <w:rsid w:val="000A2414"/>
    <w:rsid w:val="000A26D2"/>
    <w:rsid w:val="000A26FF"/>
    <w:rsid w:val="000A2D31"/>
    <w:rsid w:val="000A2EEE"/>
    <w:rsid w:val="000A3229"/>
    <w:rsid w:val="000A36CB"/>
    <w:rsid w:val="000A36EE"/>
    <w:rsid w:val="000A377E"/>
    <w:rsid w:val="000A3B4B"/>
    <w:rsid w:val="000A3BA7"/>
    <w:rsid w:val="000A3F52"/>
    <w:rsid w:val="000A407F"/>
    <w:rsid w:val="000A4536"/>
    <w:rsid w:val="000A4537"/>
    <w:rsid w:val="000A4E7E"/>
    <w:rsid w:val="000A5990"/>
    <w:rsid w:val="000A5BEB"/>
    <w:rsid w:val="000A5CA6"/>
    <w:rsid w:val="000A60A4"/>
    <w:rsid w:val="000A6531"/>
    <w:rsid w:val="000A68B2"/>
    <w:rsid w:val="000A6BD5"/>
    <w:rsid w:val="000A6C47"/>
    <w:rsid w:val="000A72F6"/>
    <w:rsid w:val="000A7890"/>
    <w:rsid w:val="000A789B"/>
    <w:rsid w:val="000A7E98"/>
    <w:rsid w:val="000B0353"/>
    <w:rsid w:val="000B07A5"/>
    <w:rsid w:val="000B09B8"/>
    <w:rsid w:val="000B1022"/>
    <w:rsid w:val="000B133B"/>
    <w:rsid w:val="000B1345"/>
    <w:rsid w:val="000B186F"/>
    <w:rsid w:val="000B19A1"/>
    <w:rsid w:val="000B1E4F"/>
    <w:rsid w:val="000B22A2"/>
    <w:rsid w:val="000B2397"/>
    <w:rsid w:val="000B2640"/>
    <w:rsid w:val="000B2EE4"/>
    <w:rsid w:val="000B386A"/>
    <w:rsid w:val="000B38C4"/>
    <w:rsid w:val="000B3A22"/>
    <w:rsid w:val="000B4186"/>
    <w:rsid w:val="000B4514"/>
    <w:rsid w:val="000B4769"/>
    <w:rsid w:val="000B493C"/>
    <w:rsid w:val="000B4BFE"/>
    <w:rsid w:val="000B4CCF"/>
    <w:rsid w:val="000B4CED"/>
    <w:rsid w:val="000B4D7F"/>
    <w:rsid w:val="000B5013"/>
    <w:rsid w:val="000B51C4"/>
    <w:rsid w:val="000B54A7"/>
    <w:rsid w:val="000B5524"/>
    <w:rsid w:val="000B5A39"/>
    <w:rsid w:val="000B5C5F"/>
    <w:rsid w:val="000B60CB"/>
    <w:rsid w:val="000B62EA"/>
    <w:rsid w:val="000B699B"/>
    <w:rsid w:val="000B6BE6"/>
    <w:rsid w:val="000B70F2"/>
    <w:rsid w:val="000B7360"/>
    <w:rsid w:val="000B77A6"/>
    <w:rsid w:val="000B7855"/>
    <w:rsid w:val="000B79BA"/>
    <w:rsid w:val="000B7B06"/>
    <w:rsid w:val="000C01E1"/>
    <w:rsid w:val="000C023B"/>
    <w:rsid w:val="000C03A8"/>
    <w:rsid w:val="000C04F0"/>
    <w:rsid w:val="000C0625"/>
    <w:rsid w:val="000C0F50"/>
    <w:rsid w:val="000C12C5"/>
    <w:rsid w:val="000C1614"/>
    <w:rsid w:val="000C1A67"/>
    <w:rsid w:val="000C1DAB"/>
    <w:rsid w:val="000C1FE1"/>
    <w:rsid w:val="000C23A6"/>
    <w:rsid w:val="000C37D8"/>
    <w:rsid w:val="000C3A90"/>
    <w:rsid w:val="000C3E2F"/>
    <w:rsid w:val="000C3FC1"/>
    <w:rsid w:val="000C438C"/>
    <w:rsid w:val="000C45BE"/>
    <w:rsid w:val="000C4A38"/>
    <w:rsid w:val="000C4B74"/>
    <w:rsid w:val="000C4B91"/>
    <w:rsid w:val="000C5142"/>
    <w:rsid w:val="000C5579"/>
    <w:rsid w:val="000C5DC1"/>
    <w:rsid w:val="000C60EB"/>
    <w:rsid w:val="000C64FD"/>
    <w:rsid w:val="000C68DD"/>
    <w:rsid w:val="000C6C68"/>
    <w:rsid w:val="000C7235"/>
    <w:rsid w:val="000C7A5D"/>
    <w:rsid w:val="000D01A3"/>
    <w:rsid w:val="000D01D9"/>
    <w:rsid w:val="000D0325"/>
    <w:rsid w:val="000D0865"/>
    <w:rsid w:val="000D0AFD"/>
    <w:rsid w:val="000D0B7F"/>
    <w:rsid w:val="000D0D0F"/>
    <w:rsid w:val="000D0E83"/>
    <w:rsid w:val="000D11C1"/>
    <w:rsid w:val="000D14D6"/>
    <w:rsid w:val="000D1A8D"/>
    <w:rsid w:val="000D1D0E"/>
    <w:rsid w:val="000D1F89"/>
    <w:rsid w:val="000D1FE0"/>
    <w:rsid w:val="000D28C8"/>
    <w:rsid w:val="000D35B3"/>
    <w:rsid w:val="000D3D64"/>
    <w:rsid w:val="000D3DFA"/>
    <w:rsid w:val="000D4319"/>
    <w:rsid w:val="000D4BEE"/>
    <w:rsid w:val="000D527B"/>
    <w:rsid w:val="000D607C"/>
    <w:rsid w:val="000D6248"/>
    <w:rsid w:val="000D65A2"/>
    <w:rsid w:val="000D6F54"/>
    <w:rsid w:val="000D7232"/>
    <w:rsid w:val="000D7375"/>
    <w:rsid w:val="000D73E1"/>
    <w:rsid w:val="000D7473"/>
    <w:rsid w:val="000D7BB4"/>
    <w:rsid w:val="000D7BF6"/>
    <w:rsid w:val="000E0162"/>
    <w:rsid w:val="000E0740"/>
    <w:rsid w:val="000E0AFF"/>
    <w:rsid w:val="000E1492"/>
    <w:rsid w:val="000E1C25"/>
    <w:rsid w:val="000E1D57"/>
    <w:rsid w:val="000E2219"/>
    <w:rsid w:val="000E29A5"/>
    <w:rsid w:val="000E29E7"/>
    <w:rsid w:val="000E2A86"/>
    <w:rsid w:val="000E2CEB"/>
    <w:rsid w:val="000E342C"/>
    <w:rsid w:val="000E343F"/>
    <w:rsid w:val="000E373D"/>
    <w:rsid w:val="000E3833"/>
    <w:rsid w:val="000E3B5D"/>
    <w:rsid w:val="000E3EDA"/>
    <w:rsid w:val="000E4553"/>
    <w:rsid w:val="000E4578"/>
    <w:rsid w:val="000E4A57"/>
    <w:rsid w:val="000E4C94"/>
    <w:rsid w:val="000E4DC2"/>
    <w:rsid w:val="000E4F47"/>
    <w:rsid w:val="000E54FE"/>
    <w:rsid w:val="000E56EB"/>
    <w:rsid w:val="000E5716"/>
    <w:rsid w:val="000E5AF3"/>
    <w:rsid w:val="000E5C95"/>
    <w:rsid w:val="000E5FE8"/>
    <w:rsid w:val="000E6657"/>
    <w:rsid w:val="000E6B0A"/>
    <w:rsid w:val="000E6B26"/>
    <w:rsid w:val="000E6CDF"/>
    <w:rsid w:val="000E7238"/>
    <w:rsid w:val="000E77A0"/>
    <w:rsid w:val="000E7F41"/>
    <w:rsid w:val="000E7FCF"/>
    <w:rsid w:val="000F04CF"/>
    <w:rsid w:val="000F0D00"/>
    <w:rsid w:val="000F0EFD"/>
    <w:rsid w:val="000F0FBB"/>
    <w:rsid w:val="000F13DE"/>
    <w:rsid w:val="000F154A"/>
    <w:rsid w:val="000F216D"/>
    <w:rsid w:val="000F27E4"/>
    <w:rsid w:val="000F2DD5"/>
    <w:rsid w:val="000F3233"/>
    <w:rsid w:val="000F34DC"/>
    <w:rsid w:val="000F35B8"/>
    <w:rsid w:val="000F3628"/>
    <w:rsid w:val="000F3E3B"/>
    <w:rsid w:val="000F41CF"/>
    <w:rsid w:val="000F4385"/>
    <w:rsid w:val="000F4506"/>
    <w:rsid w:val="000F4B18"/>
    <w:rsid w:val="000F4F19"/>
    <w:rsid w:val="000F50E7"/>
    <w:rsid w:val="000F55AA"/>
    <w:rsid w:val="000F6421"/>
    <w:rsid w:val="000F6B5E"/>
    <w:rsid w:val="000F74BC"/>
    <w:rsid w:val="000F7B34"/>
    <w:rsid w:val="000F7DE5"/>
    <w:rsid w:val="000F7F76"/>
    <w:rsid w:val="001001C5"/>
    <w:rsid w:val="001003FC"/>
    <w:rsid w:val="00100561"/>
    <w:rsid w:val="00100B8C"/>
    <w:rsid w:val="00100F86"/>
    <w:rsid w:val="001011B4"/>
    <w:rsid w:val="001012EF"/>
    <w:rsid w:val="001019DB"/>
    <w:rsid w:val="001023C9"/>
    <w:rsid w:val="00102681"/>
    <w:rsid w:val="00102791"/>
    <w:rsid w:val="001027F3"/>
    <w:rsid w:val="00102B9B"/>
    <w:rsid w:val="0010322C"/>
    <w:rsid w:val="0010386B"/>
    <w:rsid w:val="00103908"/>
    <w:rsid w:val="00103B28"/>
    <w:rsid w:val="00103BAE"/>
    <w:rsid w:val="00103CB6"/>
    <w:rsid w:val="00103D0A"/>
    <w:rsid w:val="0010405D"/>
    <w:rsid w:val="001051E9"/>
    <w:rsid w:val="001066E9"/>
    <w:rsid w:val="00106CE5"/>
    <w:rsid w:val="00107056"/>
    <w:rsid w:val="001071D1"/>
    <w:rsid w:val="001072A1"/>
    <w:rsid w:val="00107329"/>
    <w:rsid w:val="00107392"/>
    <w:rsid w:val="00107458"/>
    <w:rsid w:val="001075BF"/>
    <w:rsid w:val="00107D17"/>
    <w:rsid w:val="00107E89"/>
    <w:rsid w:val="001102B3"/>
    <w:rsid w:val="0011049E"/>
    <w:rsid w:val="00110A97"/>
    <w:rsid w:val="00110C81"/>
    <w:rsid w:val="00110E04"/>
    <w:rsid w:val="00111036"/>
    <w:rsid w:val="00111270"/>
    <w:rsid w:val="00111274"/>
    <w:rsid w:val="00111353"/>
    <w:rsid w:val="001114E7"/>
    <w:rsid w:val="00111824"/>
    <w:rsid w:val="00111975"/>
    <w:rsid w:val="00111B07"/>
    <w:rsid w:val="00111E3A"/>
    <w:rsid w:val="001125CC"/>
    <w:rsid w:val="001128EA"/>
    <w:rsid w:val="00112C96"/>
    <w:rsid w:val="00113439"/>
    <w:rsid w:val="001137E1"/>
    <w:rsid w:val="001138EB"/>
    <w:rsid w:val="00113A58"/>
    <w:rsid w:val="00114696"/>
    <w:rsid w:val="00114898"/>
    <w:rsid w:val="00114CA4"/>
    <w:rsid w:val="0011509C"/>
    <w:rsid w:val="0011549E"/>
    <w:rsid w:val="001159EE"/>
    <w:rsid w:val="00115FC5"/>
    <w:rsid w:val="001163D9"/>
    <w:rsid w:val="00116804"/>
    <w:rsid w:val="001170DE"/>
    <w:rsid w:val="001173D5"/>
    <w:rsid w:val="0011764D"/>
    <w:rsid w:val="00117672"/>
    <w:rsid w:val="00117884"/>
    <w:rsid w:val="001178CD"/>
    <w:rsid w:val="00117915"/>
    <w:rsid w:val="00117A3B"/>
    <w:rsid w:val="00117AD7"/>
    <w:rsid w:val="00117FB8"/>
    <w:rsid w:val="00117FD9"/>
    <w:rsid w:val="001205E4"/>
    <w:rsid w:val="00121D13"/>
    <w:rsid w:val="00121D18"/>
    <w:rsid w:val="00121E5F"/>
    <w:rsid w:val="00121F51"/>
    <w:rsid w:val="00121FE3"/>
    <w:rsid w:val="00122415"/>
    <w:rsid w:val="0012256C"/>
    <w:rsid w:val="00122A62"/>
    <w:rsid w:val="00122AC6"/>
    <w:rsid w:val="00122AFD"/>
    <w:rsid w:val="00122E3B"/>
    <w:rsid w:val="001230C9"/>
    <w:rsid w:val="001231FF"/>
    <w:rsid w:val="001232ED"/>
    <w:rsid w:val="001234DA"/>
    <w:rsid w:val="001236B9"/>
    <w:rsid w:val="001239C4"/>
    <w:rsid w:val="00123E1B"/>
    <w:rsid w:val="00124167"/>
    <w:rsid w:val="00124400"/>
    <w:rsid w:val="00124A0D"/>
    <w:rsid w:val="00124D2B"/>
    <w:rsid w:val="00124D96"/>
    <w:rsid w:val="00125527"/>
    <w:rsid w:val="0012564D"/>
    <w:rsid w:val="00125B68"/>
    <w:rsid w:val="00125E6D"/>
    <w:rsid w:val="00125FD6"/>
    <w:rsid w:val="0012634E"/>
    <w:rsid w:val="00126652"/>
    <w:rsid w:val="00126924"/>
    <w:rsid w:val="00126B94"/>
    <w:rsid w:val="00126FC3"/>
    <w:rsid w:val="001271DB"/>
    <w:rsid w:val="00127C8E"/>
    <w:rsid w:val="00130072"/>
    <w:rsid w:val="00130538"/>
    <w:rsid w:val="00130647"/>
    <w:rsid w:val="00130EE4"/>
    <w:rsid w:val="00130F34"/>
    <w:rsid w:val="00131509"/>
    <w:rsid w:val="001318A5"/>
    <w:rsid w:val="00131BB3"/>
    <w:rsid w:val="00131DF7"/>
    <w:rsid w:val="001323F8"/>
    <w:rsid w:val="00132481"/>
    <w:rsid w:val="0013255B"/>
    <w:rsid w:val="00132638"/>
    <w:rsid w:val="001328AC"/>
    <w:rsid w:val="00132FFB"/>
    <w:rsid w:val="00133441"/>
    <w:rsid w:val="0013344C"/>
    <w:rsid w:val="00133F25"/>
    <w:rsid w:val="00134057"/>
    <w:rsid w:val="00134259"/>
    <w:rsid w:val="001342C6"/>
    <w:rsid w:val="001344DE"/>
    <w:rsid w:val="00134540"/>
    <w:rsid w:val="0013466A"/>
    <w:rsid w:val="00134781"/>
    <w:rsid w:val="00134E14"/>
    <w:rsid w:val="001354D2"/>
    <w:rsid w:val="00135963"/>
    <w:rsid w:val="00135A4D"/>
    <w:rsid w:val="00135E69"/>
    <w:rsid w:val="00136032"/>
    <w:rsid w:val="00136503"/>
    <w:rsid w:val="00136911"/>
    <w:rsid w:val="0014079D"/>
    <w:rsid w:val="001407FA"/>
    <w:rsid w:val="00140A17"/>
    <w:rsid w:val="00140F7C"/>
    <w:rsid w:val="00141A68"/>
    <w:rsid w:val="00141E43"/>
    <w:rsid w:val="00141E8E"/>
    <w:rsid w:val="0014283C"/>
    <w:rsid w:val="00142B4C"/>
    <w:rsid w:val="0014301B"/>
    <w:rsid w:val="001430F9"/>
    <w:rsid w:val="00143285"/>
    <w:rsid w:val="0014337F"/>
    <w:rsid w:val="0014363A"/>
    <w:rsid w:val="001437AB"/>
    <w:rsid w:val="001437E4"/>
    <w:rsid w:val="00144649"/>
    <w:rsid w:val="0014481B"/>
    <w:rsid w:val="001448D6"/>
    <w:rsid w:val="00144A1E"/>
    <w:rsid w:val="00144C29"/>
    <w:rsid w:val="00144C42"/>
    <w:rsid w:val="00144C7A"/>
    <w:rsid w:val="00144CEF"/>
    <w:rsid w:val="00144DA0"/>
    <w:rsid w:val="0014500B"/>
    <w:rsid w:val="00145658"/>
    <w:rsid w:val="00145DA2"/>
    <w:rsid w:val="00145E39"/>
    <w:rsid w:val="00145F4B"/>
    <w:rsid w:val="00145FF1"/>
    <w:rsid w:val="00146834"/>
    <w:rsid w:val="001468F7"/>
    <w:rsid w:val="00146990"/>
    <w:rsid w:val="00146AC7"/>
    <w:rsid w:val="0014704A"/>
    <w:rsid w:val="00147140"/>
    <w:rsid w:val="00147176"/>
    <w:rsid w:val="001504E0"/>
    <w:rsid w:val="001505F5"/>
    <w:rsid w:val="00151314"/>
    <w:rsid w:val="001516F4"/>
    <w:rsid w:val="00151EF7"/>
    <w:rsid w:val="00152247"/>
    <w:rsid w:val="001523D4"/>
    <w:rsid w:val="0015282B"/>
    <w:rsid w:val="00152B77"/>
    <w:rsid w:val="0015328A"/>
    <w:rsid w:val="001532DF"/>
    <w:rsid w:val="00153A91"/>
    <w:rsid w:val="00153D99"/>
    <w:rsid w:val="0015446D"/>
    <w:rsid w:val="00154868"/>
    <w:rsid w:val="00155349"/>
    <w:rsid w:val="001553A3"/>
    <w:rsid w:val="00156525"/>
    <w:rsid w:val="001566E0"/>
    <w:rsid w:val="00156828"/>
    <w:rsid w:val="00156D4C"/>
    <w:rsid w:val="0015719E"/>
    <w:rsid w:val="0015778C"/>
    <w:rsid w:val="00157AAF"/>
    <w:rsid w:val="00157F57"/>
    <w:rsid w:val="001602CD"/>
    <w:rsid w:val="00160495"/>
    <w:rsid w:val="00160606"/>
    <w:rsid w:val="00160722"/>
    <w:rsid w:val="001608CB"/>
    <w:rsid w:val="00160F50"/>
    <w:rsid w:val="00160FB6"/>
    <w:rsid w:val="00161969"/>
    <w:rsid w:val="00161DF9"/>
    <w:rsid w:val="00162126"/>
    <w:rsid w:val="00162613"/>
    <w:rsid w:val="00162E3D"/>
    <w:rsid w:val="00163043"/>
    <w:rsid w:val="001630D7"/>
    <w:rsid w:val="00163C82"/>
    <w:rsid w:val="00163CDA"/>
    <w:rsid w:val="00164638"/>
    <w:rsid w:val="00165C75"/>
    <w:rsid w:val="00165F00"/>
    <w:rsid w:val="0016613B"/>
    <w:rsid w:val="0016638B"/>
    <w:rsid w:val="00166662"/>
    <w:rsid w:val="001666F9"/>
    <w:rsid w:val="001669F4"/>
    <w:rsid w:val="00166BA4"/>
    <w:rsid w:val="00167CE5"/>
    <w:rsid w:val="00167F03"/>
    <w:rsid w:val="00170764"/>
    <w:rsid w:val="00170B56"/>
    <w:rsid w:val="00170DD3"/>
    <w:rsid w:val="00171077"/>
    <w:rsid w:val="00171483"/>
    <w:rsid w:val="001714FA"/>
    <w:rsid w:val="00171B20"/>
    <w:rsid w:val="00171DD3"/>
    <w:rsid w:val="001722D3"/>
    <w:rsid w:val="00172DD3"/>
    <w:rsid w:val="0017301B"/>
    <w:rsid w:val="00173576"/>
    <w:rsid w:val="0017396F"/>
    <w:rsid w:val="00173D05"/>
    <w:rsid w:val="00173DCE"/>
    <w:rsid w:val="00173F0C"/>
    <w:rsid w:val="00174504"/>
    <w:rsid w:val="001746CE"/>
    <w:rsid w:val="0017486D"/>
    <w:rsid w:val="00174C59"/>
    <w:rsid w:val="001751F3"/>
    <w:rsid w:val="00175378"/>
    <w:rsid w:val="001754EC"/>
    <w:rsid w:val="00175613"/>
    <w:rsid w:val="001762D6"/>
    <w:rsid w:val="001769B9"/>
    <w:rsid w:val="00176DA0"/>
    <w:rsid w:val="00176DA5"/>
    <w:rsid w:val="00176F2C"/>
    <w:rsid w:val="00177E97"/>
    <w:rsid w:val="00180317"/>
    <w:rsid w:val="00180325"/>
    <w:rsid w:val="001805D9"/>
    <w:rsid w:val="00180910"/>
    <w:rsid w:val="001810F3"/>
    <w:rsid w:val="0018163C"/>
    <w:rsid w:val="001816CC"/>
    <w:rsid w:val="00181A6A"/>
    <w:rsid w:val="0018219E"/>
    <w:rsid w:val="00182328"/>
    <w:rsid w:val="00182651"/>
    <w:rsid w:val="00182860"/>
    <w:rsid w:val="00182CF8"/>
    <w:rsid w:val="00182D99"/>
    <w:rsid w:val="001830EF"/>
    <w:rsid w:val="00183957"/>
    <w:rsid w:val="0018443E"/>
    <w:rsid w:val="001854E4"/>
    <w:rsid w:val="00185510"/>
    <w:rsid w:val="00185B61"/>
    <w:rsid w:val="0018622C"/>
    <w:rsid w:val="00186315"/>
    <w:rsid w:val="00186CB8"/>
    <w:rsid w:val="00186E71"/>
    <w:rsid w:val="00186EFD"/>
    <w:rsid w:val="00186F46"/>
    <w:rsid w:val="001874AA"/>
    <w:rsid w:val="001875EA"/>
    <w:rsid w:val="0018770E"/>
    <w:rsid w:val="00187C83"/>
    <w:rsid w:val="00187D5E"/>
    <w:rsid w:val="00190214"/>
    <w:rsid w:val="00190486"/>
    <w:rsid w:val="00190C34"/>
    <w:rsid w:val="00190D6D"/>
    <w:rsid w:val="00190EFD"/>
    <w:rsid w:val="0019191E"/>
    <w:rsid w:val="00191D9B"/>
    <w:rsid w:val="00191DD9"/>
    <w:rsid w:val="00192181"/>
    <w:rsid w:val="00192557"/>
    <w:rsid w:val="00192E5C"/>
    <w:rsid w:val="001931C7"/>
    <w:rsid w:val="0019373F"/>
    <w:rsid w:val="00194217"/>
    <w:rsid w:val="00194326"/>
    <w:rsid w:val="001947B5"/>
    <w:rsid w:val="00194B84"/>
    <w:rsid w:val="00194DDB"/>
    <w:rsid w:val="00195000"/>
    <w:rsid w:val="00195264"/>
    <w:rsid w:val="00195505"/>
    <w:rsid w:val="00195544"/>
    <w:rsid w:val="001955BC"/>
    <w:rsid w:val="00195898"/>
    <w:rsid w:val="00195C6B"/>
    <w:rsid w:val="00195E8B"/>
    <w:rsid w:val="00195F35"/>
    <w:rsid w:val="00196F62"/>
    <w:rsid w:val="00197544"/>
    <w:rsid w:val="00197BC8"/>
    <w:rsid w:val="00197D9B"/>
    <w:rsid w:val="00197DA4"/>
    <w:rsid w:val="001A0183"/>
    <w:rsid w:val="001A035F"/>
    <w:rsid w:val="001A0662"/>
    <w:rsid w:val="001A0B36"/>
    <w:rsid w:val="001A1492"/>
    <w:rsid w:val="001A17EB"/>
    <w:rsid w:val="001A184F"/>
    <w:rsid w:val="001A2203"/>
    <w:rsid w:val="001A2A4C"/>
    <w:rsid w:val="001A2C4B"/>
    <w:rsid w:val="001A2EA2"/>
    <w:rsid w:val="001A3B5F"/>
    <w:rsid w:val="001A3BC4"/>
    <w:rsid w:val="001A3EE9"/>
    <w:rsid w:val="001A4334"/>
    <w:rsid w:val="001A4A19"/>
    <w:rsid w:val="001A4D23"/>
    <w:rsid w:val="001A53DE"/>
    <w:rsid w:val="001A57DA"/>
    <w:rsid w:val="001A5B4E"/>
    <w:rsid w:val="001A5FD5"/>
    <w:rsid w:val="001A5FF3"/>
    <w:rsid w:val="001A69AB"/>
    <w:rsid w:val="001A6AD0"/>
    <w:rsid w:val="001A6DD8"/>
    <w:rsid w:val="001A6DF2"/>
    <w:rsid w:val="001A7283"/>
    <w:rsid w:val="001A7865"/>
    <w:rsid w:val="001B100F"/>
    <w:rsid w:val="001B10AF"/>
    <w:rsid w:val="001B1160"/>
    <w:rsid w:val="001B227E"/>
    <w:rsid w:val="001B2711"/>
    <w:rsid w:val="001B2E08"/>
    <w:rsid w:val="001B2EA3"/>
    <w:rsid w:val="001B307C"/>
    <w:rsid w:val="001B3503"/>
    <w:rsid w:val="001B3B91"/>
    <w:rsid w:val="001B3EF1"/>
    <w:rsid w:val="001B40B2"/>
    <w:rsid w:val="001B40F7"/>
    <w:rsid w:val="001B41E2"/>
    <w:rsid w:val="001B446E"/>
    <w:rsid w:val="001B472B"/>
    <w:rsid w:val="001B497A"/>
    <w:rsid w:val="001B4B0F"/>
    <w:rsid w:val="001B5A37"/>
    <w:rsid w:val="001B60BB"/>
    <w:rsid w:val="001B69BA"/>
    <w:rsid w:val="001B7B74"/>
    <w:rsid w:val="001B7B83"/>
    <w:rsid w:val="001C03DF"/>
    <w:rsid w:val="001C04B4"/>
    <w:rsid w:val="001C050A"/>
    <w:rsid w:val="001C0875"/>
    <w:rsid w:val="001C0CB5"/>
    <w:rsid w:val="001C14E1"/>
    <w:rsid w:val="001C15E7"/>
    <w:rsid w:val="001C1DD9"/>
    <w:rsid w:val="001C1F74"/>
    <w:rsid w:val="001C231E"/>
    <w:rsid w:val="001C277E"/>
    <w:rsid w:val="001C2830"/>
    <w:rsid w:val="001C2A1C"/>
    <w:rsid w:val="001C2BBB"/>
    <w:rsid w:val="001C324D"/>
    <w:rsid w:val="001C3368"/>
    <w:rsid w:val="001C3371"/>
    <w:rsid w:val="001C3945"/>
    <w:rsid w:val="001C3E57"/>
    <w:rsid w:val="001C41B2"/>
    <w:rsid w:val="001C41CA"/>
    <w:rsid w:val="001C4373"/>
    <w:rsid w:val="001C4805"/>
    <w:rsid w:val="001C4C01"/>
    <w:rsid w:val="001C4C46"/>
    <w:rsid w:val="001C5425"/>
    <w:rsid w:val="001C562F"/>
    <w:rsid w:val="001C5F4B"/>
    <w:rsid w:val="001C7096"/>
    <w:rsid w:val="001C7289"/>
    <w:rsid w:val="001C73A8"/>
    <w:rsid w:val="001C764C"/>
    <w:rsid w:val="001D0672"/>
    <w:rsid w:val="001D0FB7"/>
    <w:rsid w:val="001D17B1"/>
    <w:rsid w:val="001D1992"/>
    <w:rsid w:val="001D1CCC"/>
    <w:rsid w:val="001D20CE"/>
    <w:rsid w:val="001D210B"/>
    <w:rsid w:val="001D2111"/>
    <w:rsid w:val="001D2344"/>
    <w:rsid w:val="001D2528"/>
    <w:rsid w:val="001D26A2"/>
    <w:rsid w:val="001D2A8F"/>
    <w:rsid w:val="001D2EE1"/>
    <w:rsid w:val="001D3164"/>
    <w:rsid w:val="001D3750"/>
    <w:rsid w:val="001D3C35"/>
    <w:rsid w:val="001D408B"/>
    <w:rsid w:val="001D4095"/>
    <w:rsid w:val="001D4303"/>
    <w:rsid w:val="001D45F0"/>
    <w:rsid w:val="001D4C24"/>
    <w:rsid w:val="001D554E"/>
    <w:rsid w:val="001D5894"/>
    <w:rsid w:val="001D5B5D"/>
    <w:rsid w:val="001D62A3"/>
    <w:rsid w:val="001D63D8"/>
    <w:rsid w:val="001D64E4"/>
    <w:rsid w:val="001D64ED"/>
    <w:rsid w:val="001D65ED"/>
    <w:rsid w:val="001D68A4"/>
    <w:rsid w:val="001D69D3"/>
    <w:rsid w:val="001D6DEF"/>
    <w:rsid w:val="001D77C1"/>
    <w:rsid w:val="001D78C6"/>
    <w:rsid w:val="001D7992"/>
    <w:rsid w:val="001D7E22"/>
    <w:rsid w:val="001D7E4A"/>
    <w:rsid w:val="001E0533"/>
    <w:rsid w:val="001E0F04"/>
    <w:rsid w:val="001E1174"/>
    <w:rsid w:val="001E1279"/>
    <w:rsid w:val="001E1445"/>
    <w:rsid w:val="001E148E"/>
    <w:rsid w:val="001E162A"/>
    <w:rsid w:val="001E1963"/>
    <w:rsid w:val="001E1C75"/>
    <w:rsid w:val="001E25C2"/>
    <w:rsid w:val="001E28D2"/>
    <w:rsid w:val="001E2B85"/>
    <w:rsid w:val="001E2E6F"/>
    <w:rsid w:val="001E3D61"/>
    <w:rsid w:val="001E3DAC"/>
    <w:rsid w:val="001E3DE2"/>
    <w:rsid w:val="001E4090"/>
    <w:rsid w:val="001E4243"/>
    <w:rsid w:val="001E49ED"/>
    <w:rsid w:val="001E527E"/>
    <w:rsid w:val="001E5568"/>
    <w:rsid w:val="001E560D"/>
    <w:rsid w:val="001E5697"/>
    <w:rsid w:val="001E5A59"/>
    <w:rsid w:val="001E5C89"/>
    <w:rsid w:val="001E5F57"/>
    <w:rsid w:val="001E6A00"/>
    <w:rsid w:val="001E6C04"/>
    <w:rsid w:val="001E71D4"/>
    <w:rsid w:val="001E721C"/>
    <w:rsid w:val="001E7AD1"/>
    <w:rsid w:val="001E7DE5"/>
    <w:rsid w:val="001E7ECE"/>
    <w:rsid w:val="001F07BE"/>
    <w:rsid w:val="001F09DE"/>
    <w:rsid w:val="001F0AAF"/>
    <w:rsid w:val="001F1985"/>
    <w:rsid w:val="001F24FE"/>
    <w:rsid w:val="001F2716"/>
    <w:rsid w:val="001F27B0"/>
    <w:rsid w:val="001F2B46"/>
    <w:rsid w:val="001F2E1D"/>
    <w:rsid w:val="001F3772"/>
    <w:rsid w:val="001F3928"/>
    <w:rsid w:val="001F39C6"/>
    <w:rsid w:val="001F417A"/>
    <w:rsid w:val="001F47DF"/>
    <w:rsid w:val="001F4B62"/>
    <w:rsid w:val="001F52AD"/>
    <w:rsid w:val="001F558B"/>
    <w:rsid w:val="001F55FF"/>
    <w:rsid w:val="001F5748"/>
    <w:rsid w:val="001F5767"/>
    <w:rsid w:val="001F5B74"/>
    <w:rsid w:val="001F5CA6"/>
    <w:rsid w:val="001F6225"/>
    <w:rsid w:val="001F6351"/>
    <w:rsid w:val="001F6593"/>
    <w:rsid w:val="001F6905"/>
    <w:rsid w:val="001F6F3C"/>
    <w:rsid w:val="001F7D4D"/>
    <w:rsid w:val="00200142"/>
    <w:rsid w:val="002009DD"/>
    <w:rsid w:val="00200B6F"/>
    <w:rsid w:val="00200C60"/>
    <w:rsid w:val="002026F0"/>
    <w:rsid w:val="00203267"/>
    <w:rsid w:val="002038C7"/>
    <w:rsid w:val="002041A7"/>
    <w:rsid w:val="00204296"/>
    <w:rsid w:val="00204B97"/>
    <w:rsid w:val="00205CC6"/>
    <w:rsid w:val="00205F13"/>
    <w:rsid w:val="0020616F"/>
    <w:rsid w:val="002063B5"/>
    <w:rsid w:val="0020689E"/>
    <w:rsid w:val="00206AF8"/>
    <w:rsid w:val="00206B3B"/>
    <w:rsid w:val="00206FE0"/>
    <w:rsid w:val="002070A4"/>
    <w:rsid w:val="0020746E"/>
    <w:rsid w:val="002074F3"/>
    <w:rsid w:val="00207CC9"/>
    <w:rsid w:val="00207CF3"/>
    <w:rsid w:val="00207E47"/>
    <w:rsid w:val="002101FB"/>
    <w:rsid w:val="00210327"/>
    <w:rsid w:val="002103BA"/>
    <w:rsid w:val="00210C01"/>
    <w:rsid w:val="00210F4B"/>
    <w:rsid w:val="002113FC"/>
    <w:rsid w:val="00211C84"/>
    <w:rsid w:val="00211D8F"/>
    <w:rsid w:val="00211DC3"/>
    <w:rsid w:val="00211E8E"/>
    <w:rsid w:val="00212262"/>
    <w:rsid w:val="002123EE"/>
    <w:rsid w:val="00212736"/>
    <w:rsid w:val="002128B3"/>
    <w:rsid w:val="0021295A"/>
    <w:rsid w:val="002129A2"/>
    <w:rsid w:val="00212CA5"/>
    <w:rsid w:val="00212CE6"/>
    <w:rsid w:val="00213627"/>
    <w:rsid w:val="00213BF3"/>
    <w:rsid w:val="00213DD0"/>
    <w:rsid w:val="00213F28"/>
    <w:rsid w:val="0021425E"/>
    <w:rsid w:val="002144EB"/>
    <w:rsid w:val="00214E8C"/>
    <w:rsid w:val="002152B1"/>
    <w:rsid w:val="00215895"/>
    <w:rsid w:val="00215C62"/>
    <w:rsid w:val="00215E24"/>
    <w:rsid w:val="002160AE"/>
    <w:rsid w:val="002161F0"/>
    <w:rsid w:val="00216201"/>
    <w:rsid w:val="00216B51"/>
    <w:rsid w:val="00217226"/>
    <w:rsid w:val="00217692"/>
    <w:rsid w:val="002179DF"/>
    <w:rsid w:val="00217A8C"/>
    <w:rsid w:val="00217C74"/>
    <w:rsid w:val="002203CF"/>
    <w:rsid w:val="002204FE"/>
    <w:rsid w:val="0022072C"/>
    <w:rsid w:val="00220837"/>
    <w:rsid w:val="00220A48"/>
    <w:rsid w:val="00220D44"/>
    <w:rsid w:val="002210B3"/>
    <w:rsid w:val="00221450"/>
    <w:rsid w:val="00221AA9"/>
    <w:rsid w:val="0022200A"/>
    <w:rsid w:val="00222560"/>
    <w:rsid w:val="00222638"/>
    <w:rsid w:val="00222B5F"/>
    <w:rsid w:val="00222F5B"/>
    <w:rsid w:val="002230BB"/>
    <w:rsid w:val="00223178"/>
    <w:rsid w:val="0022351D"/>
    <w:rsid w:val="0022415E"/>
    <w:rsid w:val="002241D7"/>
    <w:rsid w:val="0022454C"/>
    <w:rsid w:val="00224F02"/>
    <w:rsid w:val="00224F9B"/>
    <w:rsid w:val="002252F2"/>
    <w:rsid w:val="00225648"/>
    <w:rsid w:val="002258FA"/>
    <w:rsid w:val="00225D5E"/>
    <w:rsid w:val="002261A7"/>
    <w:rsid w:val="002263D3"/>
    <w:rsid w:val="00226482"/>
    <w:rsid w:val="00226707"/>
    <w:rsid w:val="002269EF"/>
    <w:rsid w:val="00226EAF"/>
    <w:rsid w:val="0022718C"/>
    <w:rsid w:val="0022723B"/>
    <w:rsid w:val="00227C17"/>
    <w:rsid w:val="00227FF3"/>
    <w:rsid w:val="0023099A"/>
    <w:rsid w:val="00230A76"/>
    <w:rsid w:val="00230CEB"/>
    <w:rsid w:val="00230DDD"/>
    <w:rsid w:val="00230EBD"/>
    <w:rsid w:val="0023109A"/>
    <w:rsid w:val="00231333"/>
    <w:rsid w:val="00231360"/>
    <w:rsid w:val="00231393"/>
    <w:rsid w:val="00231480"/>
    <w:rsid w:val="00231583"/>
    <w:rsid w:val="00231ACF"/>
    <w:rsid w:val="00231E4E"/>
    <w:rsid w:val="00231FF0"/>
    <w:rsid w:val="00232B2D"/>
    <w:rsid w:val="00232DBB"/>
    <w:rsid w:val="00232DF1"/>
    <w:rsid w:val="00233417"/>
    <w:rsid w:val="002337A0"/>
    <w:rsid w:val="002340FD"/>
    <w:rsid w:val="002347C8"/>
    <w:rsid w:val="00234821"/>
    <w:rsid w:val="00234824"/>
    <w:rsid w:val="00234AB0"/>
    <w:rsid w:val="002352E2"/>
    <w:rsid w:val="00235411"/>
    <w:rsid w:val="002360AE"/>
    <w:rsid w:val="00236416"/>
    <w:rsid w:val="00236DAB"/>
    <w:rsid w:val="00236F2C"/>
    <w:rsid w:val="00237040"/>
    <w:rsid w:val="00237076"/>
    <w:rsid w:val="0023727B"/>
    <w:rsid w:val="00237748"/>
    <w:rsid w:val="002379A7"/>
    <w:rsid w:val="00240190"/>
    <w:rsid w:val="002401A4"/>
    <w:rsid w:val="00240396"/>
    <w:rsid w:val="00240764"/>
    <w:rsid w:val="00240929"/>
    <w:rsid w:val="0024141B"/>
    <w:rsid w:val="00241818"/>
    <w:rsid w:val="002418BD"/>
    <w:rsid w:val="002419CD"/>
    <w:rsid w:val="00241BB1"/>
    <w:rsid w:val="00241FE2"/>
    <w:rsid w:val="0024207D"/>
    <w:rsid w:val="002422D3"/>
    <w:rsid w:val="00242D2B"/>
    <w:rsid w:val="00243490"/>
    <w:rsid w:val="002436ED"/>
    <w:rsid w:val="00243A73"/>
    <w:rsid w:val="00243E3D"/>
    <w:rsid w:val="00243FEA"/>
    <w:rsid w:val="0024458B"/>
    <w:rsid w:val="00244BFE"/>
    <w:rsid w:val="00244F13"/>
    <w:rsid w:val="00244F9C"/>
    <w:rsid w:val="0024530F"/>
    <w:rsid w:val="0024594D"/>
    <w:rsid w:val="002459CA"/>
    <w:rsid w:val="00245AC6"/>
    <w:rsid w:val="00245D19"/>
    <w:rsid w:val="00245F87"/>
    <w:rsid w:val="00246190"/>
    <w:rsid w:val="0024686A"/>
    <w:rsid w:val="0024692C"/>
    <w:rsid w:val="0024698B"/>
    <w:rsid w:val="0024705F"/>
    <w:rsid w:val="00247198"/>
    <w:rsid w:val="00247AEF"/>
    <w:rsid w:val="00247B8A"/>
    <w:rsid w:val="00247D46"/>
    <w:rsid w:val="002500D2"/>
    <w:rsid w:val="00250152"/>
    <w:rsid w:val="002504A0"/>
    <w:rsid w:val="0025066A"/>
    <w:rsid w:val="00250EBF"/>
    <w:rsid w:val="002510EB"/>
    <w:rsid w:val="002512D7"/>
    <w:rsid w:val="00251C9A"/>
    <w:rsid w:val="002524D7"/>
    <w:rsid w:val="002525D6"/>
    <w:rsid w:val="002526A6"/>
    <w:rsid w:val="0025278D"/>
    <w:rsid w:val="00252B33"/>
    <w:rsid w:val="00253769"/>
    <w:rsid w:val="002537F9"/>
    <w:rsid w:val="00253B09"/>
    <w:rsid w:val="002540CD"/>
    <w:rsid w:val="0025482C"/>
    <w:rsid w:val="00254EE8"/>
    <w:rsid w:val="00255554"/>
    <w:rsid w:val="0025597A"/>
    <w:rsid w:val="002559EC"/>
    <w:rsid w:val="00256646"/>
    <w:rsid w:val="0025763E"/>
    <w:rsid w:val="00257696"/>
    <w:rsid w:val="002578D4"/>
    <w:rsid w:val="00257C67"/>
    <w:rsid w:val="00260773"/>
    <w:rsid w:val="002610EB"/>
    <w:rsid w:val="00261A0C"/>
    <w:rsid w:val="00261B9E"/>
    <w:rsid w:val="00261FC8"/>
    <w:rsid w:val="0026290D"/>
    <w:rsid w:val="00262DAE"/>
    <w:rsid w:val="00262DE0"/>
    <w:rsid w:val="00262F85"/>
    <w:rsid w:val="00263A34"/>
    <w:rsid w:val="00263A5C"/>
    <w:rsid w:val="00263FB4"/>
    <w:rsid w:val="0026433D"/>
    <w:rsid w:val="002645A6"/>
    <w:rsid w:val="00264798"/>
    <w:rsid w:val="0026480B"/>
    <w:rsid w:val="002648C1"/>
    <w:rsid w:val="00264934"/>
    <w:rsid w:val="00264D18"/>
    <w:rsid w:val="00264EFB"/>
    <w:rsid w:val="00264FEA"/>
    <w:rsid w:val="00265062"/>
    <w:rsid w:val="0026544F"/>
    <w:rsid w:val="00265CCD"/>
    <w:rsid w:val="00265D3E"/>
    <w:rsid w:val="0026695B"/>
    <w:rsid w:val="00266A9F"/>
    <w:rsid w:val="00266B23"/>
    <w:rsid w:val="00267957"/>
    <w:rsid w:val="0027084E"/>
    <w:rsid w:val="00270A77"/>
    <w:rsid w:val="002711F1"/>
    <w:rsid w:val="002715FF"/>
    <w:rsid w:val="00271726"/>
    <w:rsid w:val="00271830"/>
    <w:rsid w:val="00271ACB"/>
    <w:rsid w:val="00271C8A"/>
    <w:rsid w:val="00271DD3"/>
    <w:rsid w:val="002722AF"/>
    <w:rsid w:val="002725F1"/>
    <w:rsid w:val="00272D24"/>
    <w:rsid w:val="00272E40"/>
    <w:rsid w:val="002730B2"/>
    <w:rsid w:val="0027320E"/>
    <w:rsid w:val="00273C6C"/>
    <w:rsid w:val="00273E62"/>
    <w:rsid w:val="0027444B"/>
    <w:rsid w:val="00274666"/>
    <w:rsid w:val="002747F7"/>
    <w:rsid w:val="00274A68"/>
    <w:rsid w:val="002755E3"/>
    <w:rsid w:val="00275D7F"/>
    <w:rsid w:val="00275EC3"/>
    <w:rsid w:val="00275FBB"/>
    <w:rsid w:val="002760A9"/>
    <w:rsid w:val="00276366"/>
    <w:rsid w:val="002769A9"/>
    <w:rsid w:val="002769B7"/>
    <w:rsid w:val="00276C68"/>
    <w:rsid w:val="00277074"/>
    <w:rsid w:val="00277187"/>
    <w:rsid w:val="0027745A"/>
    <w:rsid w:val="0027771E"/>
    <w:rsid w:val="0027789E"/>
    <w:rsid w:val="00277BC9"/>
    <w:rsid w:val="002801D4"/>
    <w:rsid w:val="002801FF"/>
    <w:rsid w:val="00280C5F"/>
    <w:rsid w:val="00281282"/>
    <w:rsid w:val="00281335"/>
    <w:rsid w:val="00281C9D"/>
    <w:rsid w:val="00281D1F"/>
    <w:rsid w:val="0028229A"/>
    <w:rsid w:val="0028254A"/>
    <w:rsid w:val="002828EB"/>
    <w:rsid w:val="00282983"/>
    <w:rsid w:val="00282AA1"/>
    <w:rsid w:val="00282D49"/>
    <w:rsid w:val="002839B8"/>
    <w:rsid w:val="00283AC7"/>
    <w:rsid w:val="00283C55"/>
    <w:rsid w:val="0028444B"/>
    <w:rsid w:val="0028461F"/>
    <w:rsid w:val="00284B11"/>
    <w:rsid w:val="00284C96"/>
    <w:rsid w:val="00284CA7"/>
    <w:rsid w:val="0028503E"/>
    <w:rsid w:val="002851CF"/>
    <w:rsid w:val="0028549C"/>
    <w:rsid w:val="002856DE"/>
    <w:rsid w:val="00285C8E"/>
    <w:rsid w:val="00285CA5"/>
    <w:rsid w:val="00286378"/>
    <w:rsid w:val="002863F2"/>
    <w:rsid w:val="00286D01"/>
    <w:rsid w:val="00286D49"/>
    <w:rsid w:val="00287113"/>
    <w:rsid w:val="0028746D"/>
    <w:rsid w:val="002874BE"/>
    <w:rsid w:val="00287BC8"/>
    <w:rsid w:val="00290674"/>
    <w:rsid w:val="00290687"/>
    <w:rsid w:val="002909BF"/>
    <w:rsid w:val="00290BE3"/>
    <w:rsid w:val="00290ED5"/>
    <w:rsid w:val="00290FCF"/>
    <w:rsid w:val="00291032"/>
    <w:rsid w:val="00291135"/>
    <w:rsid w:val="0029137B"/>
    <w:rsid w:val="002914B9"/>
    <w:rsid w:val="0029181E"/>
    <w:rsid w:val="00291CCF"/>
    <w:rsid w:val="00291E4E"/>
    <w:rsid w:val="00292A09"/>
    <w:rsid w:val="002931ED"/>
    <w:rsid w:val="0029390E"/>
    <w:rsid w:val="00293BBC"/>
    <w:rsid w:val="00294011"/>
    <w:rsid w:val="002940B0"/>
    <w:rsid w:val="002940E1"/>
    <w:rsid w:val="00294325"/>
    <w:rsid w:val="00294566"/>
    <w:rsid w:val="002948B5"/>
    <w:rsid w:val="0029509F"/>
    <w:rsid w:val="0029516A"/>
    <w:rsid w:val="0029539D"/>
    <w:rsid w:val="00295CAA"/>
    <w:rsid w:val="00296696"/>
    <w:rsid w:val="002969E9"/>
    <w:rsid w:val="00296C43"/>
    <w:rsid w:val="00296E5D"/>
    <w:rsid w:val="0029722A"/>
    <w:rsid w:val="00297B43"/>
    <w:rsid w:val="00297E0B"/>
    <w:rsid w:val="002A00D5"/>
    <w:rsid w:val="002A01AE"/>
    <w:rsid w:val="002A01D8"/>
    <w:rsid w:val="002A0413"/>
    <w:rsid w:val="002A0574"/>
    <w:rsid w:val="002A0A4D"/>
    <w:rsid w:val="002A0BD6"/>
    <w:rsid w:val="002A103C"/>
    <w:rsid w:val="002A11F8"/>
    <w:rsid w:val="002A149F"/>
    <w:rsid w:val="002A17FB"/>
    <w:rsid w:val="002A23E3"/>
    <w:rsid w:val="002A26B3"/>
    <w:rsid w:val="002A275F"/>
    <w:rsid w:val="002A288A"/>
    <w:rsid w:val="002A311A"/>
    <w:rsid w:val="002A33FD"/>
    <w:rsid w:val="002A39E1"/>
    <w:rsid w:val="002A3B1C"/>
    <w:rsid w:val="002A46A3"/>
    <w:rsid w:val="002A471A"/>
    <w:rsid w:val="002A47AD"/>
    <w:rsid w:val="002A4B47"/>
    <w:rsid w:val="002A5410"/>
    <w:rsid w:val="002A5B78"/>
    <w:rsid w:val="002A5E92"/>
    <w:rsid w:val="002A5E97"/>
    <w:rsid w:val="002A60F0"/>
    <w:rsid w:val="002A666A"/>
    <w:rsid w:val="002A6689"/>
    <w:rsid w:val="002A6BE9"/>
    <w:rsid w:val="002A6F07"/>
    <w:rsid w:val="002A7125"/>
    <w:rsid w:val="002A7674"/>
    <w:rsid w:val="002A7B95"/>
    <w:rsid w:val="002B049B"/>
    <w:rsid w:val="002B071E"/>
    <w:rsid w:val="002B07EB"/>
    <w:rsid w:val="002B09B5"/>
    <w:rsid w:val="002B11B1"/>
    <w:rsid w:val="002B1739"/>
    <w:rsid w:val="002B19A2"/>
    <w:rsid w:val="002B1A12"/>
    <w:rsid w:val="002B1A37"/>
    <w:rsid w:val="002B1C64"/>
    <w:rsid w:val="002B1E22"/>
    <w:rsid w:val="002B2071"/>
    <w:rsid w:val="002B2296"/>
    <w:rsid w:val="002B2368"/>
    <w:rsid w:val="002B26ED"/>
    <w:rsid w:val="002B2A7B"/>
    <w:rsid w:val="002B2B57"/>
    <w:rsid w:val="002B2C67"/>
    <w:rsid w:val="002B317E"/>
    <w:rsid w:val="002B31B4"/>
    <w:rsid w:val="002B35F9"/>
    <w:rsid w:val="002B3892"/>
    <w:rsid w:val="002B39C5"/>
    <w:rsid w:val="002B3C99"/>
    <w:rsid w:val="002B3EE9"/>
    <w:rsid w:val="002B3FAD"/>
    <w:rsid w:val="002B4813"/>
    <w:rsid w:val="002B4838"/>
    <w:rsid w:val="002B4875"/>
    <w:rsid w:val="002B4BEE"/>
    <w:rsid w:val="002B4C62"/>
    <w:rsid w:val="002B4D1A"/>
    <w:rsid w:val="002B4DB0"/>
    <w:rsid w:val="002B50A3"/>
    <w:rsid w:val="002B5571"/>
    <w:rsid w:val="002B60C1"/>
    <w:rsid w:val="002B60E5"/>
    <w:rsid w:val="002B6462"/>
    <w:rsid w:val="002B6755"/>
    <w:rsid w:val="002B6972"/>
    <w:rsid w:val="002B6AAA"/>
    <w:rsid w:val="002B6C12"/>
    <w:rsid w:val="002B6D7A"/>
    <w:rsid w:val="002B70E8"/>
    <w:rsid w:val="002B7199"/>
    <w:rsid w:val="002B77A6"/>
    <w:rsid w:val="002B789D"/>
    <w:rsid w:val="002B79CF"/>
    <w:rsid w:val="002C0315"/>
    <w:rsid w:val="002C0444"/>
    <w:rsid w:val="002C053D"/>
    <w:rsid w:val="002C077D"/>
    <w:rsid w:val="002C0FC5"/>
    <w:rsid w:val="002C0FF0"/>
    <w:rsid w:val="002C17D9"/>
    <w:rsid w:val="002C1B01"/>
    <w:rsid w:val="002C2BC7"/>
    <w:rsid w:val="002C2DCB"/>
    <w:rsid w:val="002C361E"/>
    <w:rsid w:val="002C3959"/>
    <w:rsid w:val="002C48D6"/>
    <w:rsid w:val="002C4A3E"/>
    <w:rsid w:val="002C4A9D"/>
    <w:rsid w:val="002C4C76"/>
    <w:rsid w:val="002C53F6"/>
    <w:rsid w:val="002C5455"/>
    <w:rsid w:val="002C60BF"/>
    <w:rsid w:val="002C6190"/>
    <w:rsid w:val="002C659C"/>
    <w:rsid w:val="002C6AEF"/>
    <w:rsid w:val="002C6DFF"/>
    <w:rsid w:val="002C7353"/>
    <w:rsid w:val="002C745B"/>
    <w:rsid w:val="002C7BC9"/>
    <w:rsid w:val="002C7C2A"/>
    <w:rsid w:val="002D0CCA"/>
    <w:rsid w:val="002D0D06"/>
    <w:rsid w:val="002D0F9C"/>
    <w:rsid w:val="002D10B5"/>
    <w:rsid w:val="002D1820"/>
    <w:rsid w:val="002D1E3A"/>
    <w:rsid w:val="002D271C"/>
    <w:rsid w:val="002D2AE0"/>
    <w:rsid w:val="002D2BD8"/>
    <w:rsid w:val="002D30B5"/>
    <w:rsid w:val="002D32C6"/>
    <w:rsid w:val="002D3D75"/>
    <w:rsid w:val="002D3EAE"/>
    <w:rsid w:val="002D4059"/>
    <w:rsid w:val="002D40D7"/>
    <w:rsid w:val="002D4283"/>
    <w:rsid w:val="002D4858"/>
    <w:rsid w:val="002D4FBF"/>
    <w:rsid w:val="002D5943"/>
    <w:rsid w:val="002D5BE3"/>
    <w:rsid w:val="002D5C9F"/>
    <w:rsid w:val="002D5E7B"/>
    <w:rsid w:val="002D681D"/>
    <w:rsid w:val="002D6B2C"/>
    <w:rsid w:val="002D6CD7"/>
    <w:rsid w:val="002D711C"/>
    <w:rsid w:val="002D7DB2"/>
    <w:rsid w:val="002D7FD0"/>
    <w:rsid w:val="002E004D"/>
    <w:rsid w:val="002E03FE"/>
    <w:rsid w:val="002E0625"/>
    <w:rsid w:val="002E10FC"/>
    <w:rsid w:val="002E11B6"/>
    <w:rsid w:val="002E126F"/>
    <w:rsid w:val="002E1548"/>
    <w:rsid w:val="002E18F3"/>
    <w:rsid w:val="002E1D4D"/>
    <w:rsid w:val="002E1ED3"/>
    <w:rsid w:val="002E2350"/>
    <w:rsid w:val="002E2672"/>
    <w:rsid w:val="002E273C"/>
    <w:rsid w:val="002E2915"/>
    <w:rsid w:val="002E2969"/>
    <w:rsid w:val="002E2EDF"/>
    <w:rsid w:val="002E2FF6"/>
    <w:rsid w:val="002E3493"/>
    <w:rsid w:val="002E3B67"/>
    <w:rsid w:val="002E3E99"/>
    <w:rsid w:val="002E4177"/>
    <w:rsid w:val="002E4E82"/>
    <w:rsid w:val="002E50C8"/>
    <w:rsid w:val="002E53E5"/>
    <w:rsid w:val="002E56FE"/>
    <w:rsid w:val="002E596B"/>
    <w:rsid w:val="002E5C29"/>
    <w:rsid w:val="002E63ED"/>
    <w:rsid w:val="002E66B3"/>
    <w:rsid w:val="002E69F3"/>
    <w:rsid w:val="002E6B39"/>
    <w:rsid w:val="002E6B7E"/>
    <w:rsid w:val="002E6D57"/>
    <w:rsid w:val="002E7142"/>
    <w:rsid w:val="002E76BD"/>
    <w:rsid w:val="002E7D35"/>
    <w:rsid w:val="002F004B"/>
    <w:rsid w:val="002F064E"/>
    <w:rsid w:val="002F09CB"/>
    <w:rsid w:val="002F11D2"/>
    <w:rsid w:val="002F120C"/>
    <w:rsid w:val="002F160F"/>
    <w:rsid w:val="002F1AEE"/>
    <w:rsid w:val="002F1D85"/>
    <w:rsid w:val="002F235F"/>
    <w:rsid w:val="002F2A27"/>
    <w:rsid w:val="002F36E0"/>
    <w:rsid w:val="002F4264"/>
    <w:rsid w:val="002F4708"/>
    <w:rsid w:val="002F4D55"/>
    <w:rsid w:val="002F5205"/>
    <w:rsid w:val="002F5A55"/>
    <w:rsid w:val="002F6C3A"/>
    <w:rsid w:val="002F6C6E"/>
    <w:rsid w:val="002F796A"/>
    <w:rsid w:val="002F7E3A"/>
    <w:rsid w:val="003000F5"/>
    <w:rsid w:val="003003C3"/>
    <w:rsid w:val="00301440"/>
    <w:rsid w:val="0030166A"/>
    <w:rsid w:val="00301B5F"/>
    <w:rsid w:val="0030251A"/>
    <w:rsid w:val="0030255E"/>
    <w:rsid w:val="003025F0"/>
    <w:rsid w:val="003025F3"/>
    <w:rsid w:val="00302F2D"/>
    <w:rsid w:val="00302F38"/>
    <w:rsid w:val="0030319A"/>
    <w:rsid w:val="003033A9"/>
    <w:rsid w:val="00303748"/>
    <w:rsid w:val="0030376A"/>
    <w:rsid w:val="00303A02"/>
    <w:rsid w:val="00303DF4"/>
    <w:rsid w:val="00303ED8"/>
    <w:rsid w:val="0030429D"/>
    <w:rsid w:val="003042E1"/>
    <w:rsid w:val="003044EA"/>
    <w:rsid w:val="003056D5"/>
    <w:rsid w:val="00305763"/>
    <w:rsid w:val="003058F1"/>
    <w:rsid w:val="00305D85"/>
    <w:rsid w:val="00305E64"/>
    <w:rsid w:val="00305E78"/>
    <w:rsid w:val="00305FD2"/>
    <w:rsid w:val="00306275"/>
    <w:rsid w:val="00306461"/>
    <w:rsid w:val="0030660D"/>
    <w:rsid w:val="00306A94"/>
    <w:rsid w:val="00306C30"/>
    <w:rsid w:val="003076FF"/>
    <w:rsid w:val="003077BB"/>
    <w:rsid w:val="003078F0"/>
    <w:rsid w:val="00307F07"/>
    <w:rsid w:val="003100EB"/>
    <w:rsid w:val="003103E3"/>
    <w:rsid w:val="00310A38"/>
    <w:rsid w:val="00310C7E"/>
    <w:rsid w:val="00310DCE"/>
    <w:rsid w:val="0031109C"/>
    <w:rsid w:val="003112E8"/>
    <w:rsid w:val="003115C0"/>
    <w:rsid w:val="003116D3"/>
    <w:rsid w:val="003119C1"/>
    <w:rsid w:val="00311D53"/>
    <w:rsid w:val="00311E20"/>
    <w:rsid w:val="0031201F"/>
    <w:rsid w:val="00312219"/>
    <w:rsid w:val="00312431"/>
    <w:rsid w:val="00312511"/>
    <w:rsid w:val="00312814"/>
    <w:rsid w:val="00312AAA"/>
    <w:rsid w:val="00313A28"/>
    <w:rsid w:val="00313ED8"/>
    <w:rsid w:val="0031412B"/>
    <w:rsid w:val="00314278"/>
    <w:rsid w:val="00314644"/>
    <w:rsid w:val="003146F1"/>
    <w:rsid w:val="00314CD8"/>
    <w:rsid w:val="003151A1"/>
    <w:rsid w:val="003151EB"/>
    <w:rsid w:val="0031527A"/>
    <w:rsid w:val="00315C35"/>
    <w:rsid w:val="0031621C"/>
    <w:rsid w:val="00316439"/>
    <w:rsid w:val="003168E2"/>
    <w:rsid w:val="00316B36"/>
    <w:rsid w:val="00316B64"/>
    <w:rsid w:val="00316B8F"/>
    <w:rsid w:val="003172B0"/>
    <w:rsid w:val="00317379"/>
    <w:rsid w:val="0031761B"/>
    <w:rsid w:val="00317F69"/>
    <w:rsid w:val="0032013B"/>
    <w:rsid w:val="00320209"/>
    <w:rsid w:val="0032033F"/>
    <w:rsid w:val="0032071A"/>
    <w:rsid w:val="00320737"/>
    <w:rsid w:val="003208C4"/>
    <w:rsid w:val="0032092F"/>
    <w:rsid w:val="00320C53"/>
    <w:rsid w:val="00320D0A"/>
    <w:rsid w:val="00320DD6"/>
    <w:rsid w:val="0032102D"/>
    <w:rsid w:val="003216F6"/>
    <w:rsid w:val="0032177B"/>
    <w:rsid w:val="0032184F"/>
    <w:rsid w:val="00321ACD"/>
    <w:rsid w:val="00322020"/>
    <w:rsid w:val="0032216A"/>
    <w:rsid w:val="0032227B"/>
    <w:rsid w:val="00322898"/>
    <w:rsid w:val="00322C28"/>
    <w:rsid w:val="00322D3C"/>
    <w:rsid w:val="00322F07"/>
    <w:rsid w:val="00323439"/>
    <w:rsid w:val="00323529"/>
    <w:rsid w:val="003235B6"/>
    <w:rsid w:val="00323612"/>
    <w:rsid w:val="003237DD"/>
    <w:rsid w:val="00323F5E"/>
    <w:rsid w:val="0032446A"/>
    <w:rsid w:val="00324747"/>
    <w:rsid w:val="00324926"/>
    <w:rsid w:val="00324AE1"/>
    <w:rsid w:val="00324E65"/>
    <w:rsid w:val="00324F6F"/>
    <w:rsid w:val="00325500"/>
    <w:rsid w:val="00325692"/>
    <w:rsid w:val="00325C1E"/>
    <w:rsid w:val="00326AC8"/>
    <w:rsid w:val="00326B75"/>
    <w:rsid w:val="003275E6"/>
    <w:rsid w:val="003276E9"/>
    <w:rsid w:val="00327A3E"/>
    <w:rsid w:val="00327D5F"/>
    <w:rsid w:val="00327E31"/>
    <w:rsid w:val="0033057C"/>
    <w:rsid w:val="003306A0"/>
    <w:rsid w:val="00330D78"/>
    <w:rsid w:val="0033121C"/>
    <w:rsid w:val="003313D7"/>
    <w:rsid w:val="00332225"/>
    <w:rsid w:val="00332655"/>
    <w:rsid w:val="003328FB"/>
    <w:rsid w:val="00332A3A"/>
    <w:rsid w:val="00332E6B"/>
    <w:rsid w:val="003333B2"/>
    <w:rsid w:val="00333A95"/>
    <w:rsid w:val="0033404F"/>
    <w:rsid w:val="00334531"/>
    <w:rsid w:val="00334938"/>
    <w:rsid w:val="00334971"/>
    <w:rsid w:val="003349F4"/>
    <w:rsid w:val="00334A3A"/>
    <w:rsid w:val="003350F2"/>
    <w:rsid w:val="0033597C"/>
    <w:rsid w:val="00335FA9"/>
    <w:rsid w:val="00337309"/>
    <w:rsid w:val="0033731A"/>
    <w:rsid w:val="00337459"/>
    <w:rsid w:val="0033754C"/>
    <w:rsid w:val="0033794D"/>
    <w:rsid w:val="00337ED4"/>
    <w:rsid w:val="00340D3B"/>
    <w:rsid w:val="00341394"/>
    <w:rsid w:val="0034148B"/>
    <w:rsid w:val="0034174B"/>
    <w:rsid w:val="0034177E"/>
    <w:rsid w:val="003417EF"/>
    <w:rsid w:val="00341829"/>
    <w:rsid w:val="00342420"/>
    <w:rsid w:val="00342A86"/>
    <w:rsid w:val="00342AD2"/>
    <w:rsid w:val="00342B3B"/>
    <w:rsid w:val="00342DFE"/>
    <w:rsid w:val="00342F41"/>
    <w:rsid w:val="00343194"/>
    <w:rsid w:val="003432BC"/>
    <w:rsid w:val="003434C9"/>
    <w:rsid w:val="0034386D"/>
    <w:rsid w:val="00343E17"/>
    <w:rsid w:val="00343F48"/>
    <w:rsid w:val="00343F95"/>
    <w:rsid w:val="00344086"/>
    <w:rsid w:val="003440C8"/>
    <w:rsid w:val="00344213"/>
    <w:rsid w:val="003448EC"/>
    <w:rsid w:val="003448FA"/>
    <w:rsid w:val="00344BB6"/>
    <w:rsid w:val="0034540B"/>
    <w:rsid w:val="003456C7"/>
    <w:rsid w:val="00345E65"/>
    <w:rsid w:val="0034626F"/>
    <w:rsid w:val="00346524"/>
    <w:rsid w:val="00346849"/>
    <w:rsid w:val="00346DE9"/>
    <w:rsid w:val="00346DEB"/>
    <w:rsid w:val="00346F96"/>
    <w:rsid w:val="00347332"/>
    <w:rsid w:val="0034764D"/>
    <w:rsid w:val="00347A5B"/>
    <w:rsid w:val="003500BE"/>
    <w:rsid w:val="00350331"/>
    <w:rsid w:val="00350B86"/>
    <w:rsid w:val="00350E67"/>
    <w:rsid w:val="003511AE"/>
    <w:rsid w:val="00351330"/>
    <w:rsid w:val="00351929"/>
    <w:rsid w:val="00351D93"/>
    <w:rsid w:val="00351EA5"/>
    <w:rsid w:val="003526CE"/>
    <w:rsid w:val="00352C90"/>
    <w:rsid w:val="00352D6C"/>
    <w:rsid w:val="00352EC2"/>
    <w:rsid w:val="0035323F"/>
    <w:rsid w:val="00353A25"/>
    <w:rsid w:val="00353A2A"/>
    <w:rsid w:val="00353C2A"/>
    <w:rsid w:val="00354053"/>
    <w:rsid w:val="0035406F"/>
    <w:rsid w:val="003554A4"/>
    <w:rsid w:val="00355ED1"/>
    <w:rsid w:val="003560DD"/>
    <w:rsid w:val="00356346"/>
    <w:rsid w:val="00356783"/>
    <w:rsid w:val="00356810"/>
    <w:rsid w:val="00356A07"/>
    <w:rsid w:val="00356C5A"/>
    <w:rsid w:val="00356CE0"/>
    <w:rsid w:val="0035717C"/>
    <w:rsid w:val="0035723F"/>
    <w:rsid w:val="003573ED"/>
    <w:rsid w:val="00357B8F"/>
    <w:rsid w:val="00360748"/>
    <w:rsid w:val="003612F1"/>
    <w:rsid w:val="00361EA2"/>
    <w:rsid w:val="00362430"/>
    <w:rsid w:val="00362748"/>
    <w:rsid w:val="0036293D"/>
    <w:rsid w:val="0036296A"/>
    <w:rsid w:val="00362AA8"/>
    <w:rsid w:val="00362C26"/>
    <w:rsid w:val="0036328C"/>
    <w:rsid w:val="003633CC"/>
    <w:rsid w:val="0036345E"/>
    <w:rsid w:val="0036387B"/>
    <w:rsid w:val="00363925"/>
    <w:rsid w:val="0036397B"/>
    <w:rsid w:val="00363B4A"/>
    <w:rsid w:val="00363F46"/>
    <w:rsid w:val="0036453A"/>
    <w:rsid w:val="003649F9"/>
    <w:rsid w:val="00365112"/>
    <w:rsid w:val="00365114"/>
    <w:rsid w:val="0036553F"/>
    <w:rsid w:val="00365D71"/>
    <w:rsid w:val="00366527"/>
    <w:rsid w:val="003665EA"/>
    <w:rsid w:val="00366631"/>
    <w:rsid w:val="0036699D"/>
    <w:rsid w:val="00366FCB"/>
    <w:rsid w:val="00367539"/>
    <w:rsid w:val="00367E94"/>
    <w:rsid w:val="00367F1D"/>
    <w:rsid w:val="003705D3"/>
    <w:rsid w:val="003705DC"/>
    <w:rsid w:val="003707A5"/>
    <w:rsid w:val="00370855"/>
    <w:rsid w:val="00370F77"/>
    <w:rsid w:val="003711D9"/>
    <w:rsid w:val="00371295"/>
    <w:rsid w:val="0037191E"/>
    <w:rsid w:val="00371DA9"/>
    <w:rsid w:val="00371E4C"/>
    <w:rsid w:val="00371E92"/>
    <w:rsid w:val="0037233E"/>
    <w:rsid w:val="00373B2C"/>
    <w:rsid w:val="00373E29"/>
    <w:rsid w:val="00373F06"/>
    <w:rsid w:val="003740B8"/>
    <w:rsid w:val="0037414F"/>
    <w:rsid w:val="00374636"/>
    <w:rsid w:val="00374BB2"/>
    <w:rsid w:val="00375545"/>
    <w:rsid w:val="00375D15"/>
    <w:rsid w:val="00376041"/>
    <w:rsid w:val="0037611A"/>
    <w:rsid w:val="00376120"/>
    <w:rsid w:val="00376284"/>
    <w:rsid w:val="00376448"/>
    <w:rsid w:val="00376BDA"/>
    <w:rsid w:val="003770E3"/>
    <w:rsid w:val="00377196"/>
    <w:rsid w:val="003774C3"/>
    <w:rsid w:val="00377C84"/>
    <w:rsid w:val="003803C7"/>
    <w:rsid w:val="0038049B"/>
    <w:rsid w:val="0038088C"/>
    <w:rsid w:val="00380981"/>
    <w:rsid w:val="00380AE0"/>
    <w:rsid w:val="00380BAC"/>
    <w:rsid w:val="00380E82"/>
    <w:rsid w:val="00380F57"/>
    <w:rsid w:val="00382255"/>
    <w:rsid w:val="0038250F"/>
    <w:rsid w:val="00382756"/>
    <w:rsid w:val="003829CF"/>
    <w:rsid w:val="00382D5D"/>
    <w:rsid w:val="0038311F"/>
    <w:rsid w:val="00383913"/>
    <w:rsid w:val="00383B3B"/>
    <w:rsid w:val="00383DE3"/>
    <w:rsid w:val="00384204"/>
    <w:rsid w:val="0038428E"/>
    <w:rsid w:val="003842D8"/>
    <w:rsid w:val="00384536"/>
    <w:rsid w:val="00384883"/>
    <w:rsid w:val="00384B7B"/>
    <w:rsid w:val="00384E4D"/>
    <w:rsid w:val="0038503F"/>
    <w:rsid w:val="00385144"/>
    <w:rsid w:val="003853D5"/>
    <w:rsid w:val="00385E1A"/>
    <w:rsid w:val="003861B9"/>
    <w:rsid w:val="003861C3"/>
    <w:rsid w:val="00386C81"/>
    <w:rsid w:val="00386CC0"/>
    <w:rsid w:val="00387012"/>
    <w:rsid w:val="00387132"/>
    <w:rsid w:val="00387229"/>
    <w:rsid w:val="003878E3"/>
    <w:rsid w:val="00387C76"/>
    <w:rsid w:val="00390090"/>
    <w:rsid w:val="003902A3"/>
    <w:rsid w:val="0039053D"/>
    <w:rsid w:val="00390668"/>
    <w:rsid w:val="0039068D"/>
    <w:rsid w:val="00390967"/>
    <w:rsid w:val="00390F52"/>
    <w:rsid w:val="00390FDE"/>
    <w:rsid w:val="0039129A"/>
    <w:rsid w:val="003913DC"/>
    <w:rsid w:val="00391529"/>
    <w:rsid w:val="00391E4E"/>
    <w:rsid w:val="0039270A"/>
    <w:rsid w:val="0039297C"/>
    <w:rsid w:val="00392A97"/>
    <w:rsid w:val="00392E2F"/>
    <w:rsid w:val="00392EBE"/>
    <w:rsid w:val="00392F28"/>
    <w:rsid w:val="003937EE"/>
    <w:rsid w:val="0039421C"/>
    <w:rsid w:val="0039430E"/>
    <w:rsid w:val="00394C2E"/>
    <w:rsid w:val="00394D10"/>
    <w:rsid w:val="00394D7D"/>
    <w:rsid w:val="00394E1C"/>
    <w:rsid w:val="003950FC"/>
    <w:rsid w:val="003955A8"/>
    <w:rsid w:val="0039581C"/>
    <w:rsid w:val="003964F8"/>
    <w:rsid w:val="0039670F"/>
    <w:rsid w:val="003967B3"/>
    <w:rsid w:val="00397AEC"/>
    <w:rsid w:val="00397F05"/>
    <w:rsid w:val="00397F89"/>
    <w:rsid w:val="003A0749"/>
    <w:rsid w:val="003A0792"/>
    <w:rsid w:val="003A0C35"/>
    <w:rsid w:val="003A0DED"/>
    <w:rsid w:val="003A10E2"/>
    <w:rsid w:val="003A146E"/>
    <w:rsid w:val="003A165B"/>
    <w:rsid w:val="003A1B12"/>
    <w:rsid w:val="003A2B9D"/>
    <w:rsid w:val="003A319A"/>
    <w:rsid w:val="003A3EC0"/>
    <w:rsid w:val="003A3F7A"/>
    <w:rsid w:val="003A40C5"/>
    <w:rsid w:val="003A43C9"/>
    <w:rsid w:val="003A45D5"/>
    <w:rsid w:val="003A4AA1"/>
    <w:rsid w:val="003A4C41"/>
    <w:rsid w:val="003A4D8D"/>
    <w:rsid w:val="003A4EBB"/>
    <w:rsid w:val="003A5562"/>
    <w:rsid w:val="003A5FB1"/>
    <w:rsid w:val="003A6029"/>
    <w:rsid w:val="003A603D"/>
    <w:rsid w:val="003A64D9"/>
    <w:rsid w:val="003A69F9"/>
    <w:rsid w:val="003A6B1F"/>
    <w:rsid w:val="003A6BE0"/>
    <w:rsid w:val="003A7339"/>
    <w:rsid w:val="003A7A1E"/>
    <w:rsid w:val="003A7AC0"/>
    <w:rsid w:val="003B03B5"/>
    <w:rsid w:val="003B1B92"/>
    <w:rsid w:val="003B1CB2"/>
    <w:rsid w:val="003B228B"/>
    <w:rsid w:val="003B2A4B"/>
    <w:rsid w:val="003B2B94"/>
    <w:rsid w:val="003B2DAD"/>
    <w:rsid w:val="003B3110"/>
    <w:rsid w:val="003B34F6"/>
    <w:rsid w:val="003B367D"/>
    <w:rsid w:val="003B3E7A"/>
    <w:rsid w:val="003B4226"/>
    <w:rsid w:val="003B45C3"/>
    <w:rsid w:val="003B4700"/>
    <w:rsid w:val="003B48FA"/>
    <w:rsid w:val="003B4E40"/>
    <w:rsid w:val="003B4EB4"/>
    <w:rsid w:val="003B50EB"/>
    <w:rsid w:val="003B5261"/>
    <w:rsid w:val="003B5B18"/>
    <w:rsid w:val="003B5CF2"/>
    <w:rsid w:val="003B5D13"/>
    <w:rsid w:val="003B62A8"/>
    <w:rsid w:val="003B62BB"/>
    <w:rsid w:val="003B662A"/>
    <w:rsid w:val="003B6632"/>
    <w:rsid w:val="003B6BDF"/>
    <w:rsid w:val="003B6D13"/>
    <w:rsid w:val="003B6F26"/>
    <w:rsid w:val="003B7269"/>
    <w:rsid w:val="003B7802"/>
    <w:rsid w:val="003B79C7"/>
    <w:rsid w:val="003B7D0B"/>
    <w:rsid w:val="003C0087"/>
    <w:rsid w:val="003C0195"/>
    <w:rsid w:val="003C145E"/>
    <w:rsid w:val="003C19C1"/>
    <w:rsid w:val="003C19F3"/>
    <w:rsid w:val="003C1A32"/>
    <w:rsid w:val="003C25FB"/>
    <w:rsid w:val="003C285D"/>
    <w:rsid w:val="003C3153"/>
    <w:rsid w:val="003C335F"/>
    <w:rsid w:val="003C3AAD"/>
    <w:rsid w:val="003C3B43"/>
    <w:rsid w:val="003C3E02"/>
    <w:rsid w:val="003C3E0F"/>
    <w:rsid w:val="003C3E45"/>
    <w:rsid w:val="003C40B0"/>
    <w:rsid w:val="003C454B"/>
    <w:rsid w:val="003C4657"/>
    <w:rsid w:val="003C475D"/>
    <w:rsid w:val="003C4839"/>
    <w:rsid w:val="003C4ACD"/>
    <w:rsid w:val="003C51FE"/>
    <w:rsid w:val="003C5304"/>
    <w:rsid w:val="003C5333"/>
    <w:rsid w:val="003C55CE"/>
    <w:rsid w:val="003C57AC"/>
    <w:rsid w:val="003C59DF"/>
    <w:rsid w:val="003C5BB8"/>
    <w:rsid w:val="003C5BD1"/>
    <w:rsid w:val="003C5CC5"/>
    <w:rsid w:val="003C5ED3"/>
    <w:rsid w:val="003C6116"/>
    <w:rsid w:val="003C6286"/>
    <w:rsid w:val="003C6453"/>
    <w:rsid w:val="003C66EC"/>
    <w:rsid w:val="003C6775"/>
    <w:rsid w:val="003C6F27"/>
    <w:rsid w:val="003C6F3B"/>
    <w:rsid w:val="003C77AF"/>
    <w:rsid w:val="003C7C24"/>
    <w:rsid w:val="003D0052"/>
    <w:rsid w:val="003D010A"/>
    <w:rsid w:val="003D02B6"/>
    <w:rsid w:val="003D02F5"/>
    <w:rsid w:val="003D0800"/>
    <w:rsid w:val="003D0B95"/>
    <w:rsid w:val="003D0BA9"/>
    <w:rsid w:val="003D10B3"/>
    <w:rsid w:val="003D1168"/>
    <w:rsid w:val="003D17AD"/>
    <w:rsid w:val="003D1BEF"/>
    <w:rsid w:val="003D1C0E"/>
    <w:rsid w:val="003D382E"/>
    <w:rsid w:val="003D3C04"/>
    <w:rsid w:val="003D3F31"/>
    <w:rsid w:val="003D3FAF"/>
    <w:rsid w:val="003D429C"/>
    <w:rsid w:val="003D499B"/>
    <w:rsid w:val="003D4A09"/>
    <w:rsid w:val="003D4AE3"/>
    <w:rsid w:val="003D4D14"/>
    <w:rsid w:val="003D5BE9"/>
    <w:rsid w:val="003D6ABF"/>
    <w:rsid w:val="003D6D93"/>
    <w:rsid w:val="003D6E49"/>
    <w:rsid w:val="003D7063"/>
    <w:rsid w:val="003D7403"/>
    <w:rsid w:val="003D75A7"/>
    <w:rsid w:val="003D7F4E"/>
    <w:rsid w:val="003E06DA"/>
    <w:rsid w:val="003E0E3E"/>
    <w:rsid w:val="003E0F5C"/>
    <w:rsid w:val="003E0FE5"/>
    <w:rsid w:val="003E107C"/>
    <w:rsid w:val="003E11C8"/>
    <w:rsid w:val="003E1446"/>
    <w:rsid w:val="003E1912"/>
    <w:rsid w:val="003E1B44"/>
    <w:rsid w:val="003E1D46"/>
    <w:rsid w:val="003E1DEC"/>
    <w:rsid w:val="003E1E00"/>
    <w:rsid w:val="003E20DB"/>
    <w:rsid w:val="003E27AE"/>
    <w:rsid w:val="003E2DFC"/>
    <w:rsid w:val="003E2FA0"/>
    <w:rsid w:val="003E2FEB"/>
    <w:rsid w:val="003E30EA"/>
    <w:rsid w:val="003E327C"/>
    <w:rsid w:val="003E3365"/>
    <w:rsid w:val="003E36E9"/>
    <w:rsid w:val="003E3B83"/>
    <w:rsid w:val="003E3D98"/>
    <w:rsid w:val="003E4ED7"/>
    <w:rsid w:val="003E5984"/>
    <w:rsid w:val="003E5F67"/>
    <w:rsid w:val="003E60DE"/>
    <w:rsid w:val="003E6795"/>
    <w:rsid w:val="003E6EE1"/>
    <w:rsid w:val="003F01DD"/>
    <w:rsid w:val="003F0479"/>
    <w:rsid w:val="003F0621"/>
    <w:rsid w:val="003F0701"/>
    <w:rsid w:val="003F0990"/>
    <w:rsid w:val="003F09D6"/>
    <w:rsid w:val="003F0AB2"/>
    <w:rsid w:val="003F0E1B"/>
    <w:rsid w:val="003F1629"/>
    <w:rsid w:val="003F1708"/>
    <w:rsid w:val="003F191B"/>
    <w:rsid w:val="003F208F"/>
    <w:rsid w:val="003F211A"/>
    <w:rsid w:val="003F23B1"/>
    <w:rsid w:val="003F2465"/>
    <w:rsid w:val="003F246C"/>
    <w:rsid w:val="003F24BD"/>
    <w:rsid w:val="003F29BF"/>
    <w:rsid w:val="003F2F5E"/>
    <w:rsid w:val="003F3866"/>
    <w:rsid w:val="003F3E6C"/>
    <w:rsid w:val="003F43FF"/>
    <w:rsid w:val="003F5062"/>
    <w:rsid w:val="003F5863"/>
    <w:rsid w:val="003F5917"/>
    <w:rsid w:val="003F5C47"/>
    <w:rsid w:val="003F5E2B"/>
    <w:rsid w:val="003F63F0"/>
    <w:rsid w:val="003F6755"/>
    <w:rsid w:val="003F6B44"/>
    <w:rsid w:val="003F6DD7"/>
    <w:rsid w:val="003F6FFB"/>
    <w:rsid w:val="003F72F9"/>
    <w:rsid w:val="003F7437"/>
    <w:rsid w:val="003F7455"/>
    <w:rsid w:val="003F7617"/>
    <w:rsid w:val="003F777F"/>
    <w:rsid w:val="003F7811"/>
    <w:rsid w:val="003F791B"/>
    <w:rsid w:val="003F7AB9"/>
    <w:rsid w:val="003F7AFF"/>
    <w:rsid w:val="003F7B24"/>
    <w:rsid w:val="004002D9"/>
    <w:rsid w:val="004002ED"/>
    <w:rsid w:val="00400640"/>
    <w:rsid w:val="0040080A"/>
    <w:rsid w:val="00401D19"/>
    <w:rsid w:val="004020B4"/>
    <w:rsid w:val="00402206"/>
    <w:rsid w:val="004026AA"/>
    <w:rsid w:val="00403075"/>
    <w:rsid w:val="004032D2"/>
    <w:rsid w:val="004032D5"/>
    <w:rsid w:val="00403529"/>
    <w:rsid w:val="004043EB"/>
    <w:rsid w:val="004045FE"/>
    <w:rsid w:val="00404638"/>
    <w:rsid w:val="00404692"/>
    <w:rsid w:val="00404892"/>
    <w:rsid w:val="00404A4B"/>
    <w:rsid w:val="00404A82"/>
    <w:rsid w:val="00404B9A"/>
    <w:rsid w:val="00404E68"/>
    <w:rsid w:val="00405C6C"/>
    <w:rsid w:val="00405E39"/>
    <w:rsid w:val="00405F2D"/>
    <w:rsid w:val="004063F9"/>
    <w:rsid w:val="00406407"/>
    <w:rsid w:val="004065B0"/>
    <w:rsid w:val="0040696A"/>
    <w:rsid w:val="00406B54"/>
    <w:rsid w:val="00406F3A"/>
    <w:rsid w:val="004070C0"/>
    <w:rsid w:val="004071A6"/>
    <w:rsid w:val="00407359"/>
    <w:rsid w:val="00407475"/>
    <w:rsid w:val="00407976"/>
    <w:rsid w:val="00407BB8"/>
    <w:rsid w:val="00407D41"/>
    <w:rsid w:val="0041091F"/>
    <w:rsid w:val="00410EDD"/>
    <w:rsid w:val="004115C9"/>
    <w:rsid w:val="004118F1"/>
    <w:rsid w:val="00411A51"/>
    <w:rsid w:val="00411AC2"/>
    <w:rsid w:val="004122F9"/>
    <w:rsid w:val="00412E4D"/>
    <w:rsid w:val="00412E8B"/>
    <w:rsid w:val="00413135"/>
    <w:rsid w:val="004131E8"/>
    <w:rsid w:val="0041335E"/>
    <w:rsid w:val="0041371B"/>
    <w:rsid w:val="004137DE"/>
    <w:rsid w:val="004137E2"/>
    <w:rsid w:val="00413876"/>
    <w:rsid w:val="0041389A"/>
    <w:rsid w:val="00413B8E"/>
    <w:rsid w:val="00414040"/>
    <w:rsid w:val="0041434B"/>
    <w:rsid w:val="00414703"/>
    <w:rsid w:val="00414D07"/>
    <w:rsid w:val="00414D38"/>
    <w:rsid w:val="00414DBB"/>
    <w:rsid w:val="00414E5B"/>
    <w:rsid w:val="004153D3"/>
    <w:rsid w:val="004155E9"/>
    <w:rsid w:val="004157C2"/>
    <w:rsid w:val="00415B40"/>
    <w:rsid w:val="00415CEF"/>
    <w:rsid w:val="0041606E"/>
    <w:rsid w:val="004162CE"/>
    <w:rsid w:val="004167DB"/>
    <w:rsid w:val="00416DF7"/>
    <w:rsid w:val="00416F44"/>
    <w:rsid w:val="00416FD0"/>
    <w:rsid w:val="0041751E"/>
    <w:rsid w:val="004200EA"/>
    <w:rsid w:val="004204B4"/>
    <w:rsid w:val="00420598"/>
    <w:rsid w:val="00420640"/>
    <w:rsid w:val="0042069D"/>
    <w:rsid w:val="00420786"/>
    <w:rsid w:val="00420789"/>
    <w:rsid w:val="004210AD"/>
    <w:rsid w:val="00421F26"/>
    <w:rsid w:val="0042203F"/>
    <w:rsid w:val="004222A5"/>
    <w:rsid w:val="004223C6"/>
    <w:rsid w:val="004226EA"/>
    <w:rsid w:val="00423075"/>
    <w:rsid w:val="00423280"/>
    <w:rsid w:val="004237FB"/>
    <w:rsid w:val="0042382E"/>
    <w:rsid w:val="00423DDF"/>
    <w:rsid w:val="00423FA9"/>
    <w:rsid w:val="00424040"/>
    <w:rsid w:val="004246FC"/>
    <w:rsid w:val="00425031"/>
    <w:rsid w:val="00425098"/>
    <w:rsid w:val="0042519B"/>
    <w:rsid w:val="00425379"/>
    <w:rsid w:val="00425C8E"/>
    <w:rsid w:val="00425CAB"/>
    <w:rsid w:val="00425EAB"/>
    <w:rsid w:val="00426240"/>
    <w:rsid w:val="004264BB"/>
    <w:rsid w:val="00426517"/>
    <w:rsid w:val="00426BE5"/>
    <w:rsid w:val="00426C20"/>
    <w:rsid w:val="00426ED8"/>
    <w:rsid w:val="00427113"/>
    <w:rsid w:val="00427137"/>
    <w:rsid w:val="00427195"/>
    <w:rsid w:val="00427479"/>
    <w:rsid w:val="004274D5"/>
    <w:rsid w:val="00427967"/>
    <w:rsid w:val="00427A32"/>
    <w:rsid w:val="00427C50"/>
    <w:rsid w:val="00427D0F"/>
    <w:rsid w:val="00427E2D"/>
    <w:rsid w:val="00427E44"/>
    <w:rsid w:val="00427F36"/>
    <w:rsid w:val="004308C4"/>
    <w:rsid w:val="00431057"/>
    <w:rsid w:val="0043112C"/>
    <w:rsid w:val="004316BA"/>
    <w:rsid w:val="00431E8F"/>
    <w:rsid w:val="0043295C"/>
    <w:rsid w:val="00432D6D"/>
    <w:rsid w:val="004330D1"/>
    <w:rsid w:val="00433534"/>
    <w:rsid w:val="0043375B"/>
    <w:rsid w:val="0043431B"/>
    <w:rsid w:val="00434CB4"/>
    <w:rsid w:val="004355B7"/>
    <w:rsid w:val="00435645"/>
    <w:rsid w:val="00435D94"/>
    <w:rsid w:val="00436310"/>
    <w:rsid w:val="00436719"/>
    <w:rsid w:val="004369CD"/>
    <w:rsid w:val="00436C86"/>
    <w:rsid w:val="00436CA5"/>
    <w:rsid w:val="004375B8"/>
    <w:rsid w:val="004378CF"/>
    <w:rsid w:val="00437B3D"/>
    <w:rsid w:val="00437CAD"/>
    <w:rsid w:val="00437EA8"/>
    <w:rsid w:val="00437EE6"/>
    <w:rsid w:val="00440074"/>
    <w:rsid w:val="0044021F"/>
    <w:rsid w:val="00440675"/>
    <w:rsid w:val="004407A0"/>
    <w:rsid w:val="00440835"/>
    <w:rsid w:val="00440A5E"/>
    <w:rsid w:val="00440B04"/>
    <w:rsid w:val="00440E6D"/>
    <w:rsid w:val="00440F4E"/>
    <w:rsid w:val="00441984"/>
    <w:rsid w:val="00441AE5"/>
    <w:rsid w:val="00441AF2"/>
    <w:rsid w:val="00441D21"/>
    <w:rsid w:val="00441E28"/>
    <w:rsid w:val="00442596"/>
    <w:rsid w:val="0044282B"/>
    <w:rsid w:val="00442BDA"/>
    <w:rsid w:val="00442C0B"/>
    <w:rsid w:val="00442C66"/>
    <w:rsid w:val="00442D9E"/>
    <w:rsid w:val="00442FDB"/>
    <w:rsid w:val="0044344E"/>
    <w:rsid w:val="004443D2"/>
    <w:rsid w:val="004444B1"/>
    <w:rsid w:val="00444550"/>
    <w:rsid w:val="00444602"/>
    <w:rsid w:val="004453FA"/>
    <w:rsid w:val="00445419"/>
    <w:rsid w:val="00445FFE"/>
    <w:rsid w:val="00446174"/>
    <w:rsid w:val="0044689A"/>
    <w:rsid w:val="00446A6E"/>
    <w:rsid w:val="00446CC3"/>
    <w:rsid w:val="00447452"/>
    <w:rsid w:val="004476FC"/>
    <w:rsid w:val="00447D68"/>
    <w:rsid w:val="00447E45"/>
    <w:rsid w:val="00447F08"/>
    <w:rsid w:val="00450BA2"/>
    <w:rsid w:val="00450E3C"/>
    <w:rsid w:val="00450EE5"/>
    <w:rsid w:val="004514AE"/>
    <w:rsid w:val="00451D2D"/>
    <w:rsid w:val="00451D89"/>
    <w:rsid w:val="0045206B"/>
    <w:rsid w:val="00452832"/>
    <w:rsid w:val="00452B44"/>
    <w:rsid w:val="00452C26"/>
    <w:rsid w:val="00452DB6"/>
    <w:rsid w:val="00452E8B"/>
    <w:rsid w:val="00453AB0"/>
    <w:rsid w:val="00453CBA"/>
    <w:rsid w:val="004543A0"/>
    <w:rsid w:val="00454561"/>
    <w:rsid w:val="0045508F"/>
    <w:rsid w:val="0045543A"/>
    <w:rsid w:val="0045587C"/>
    <w:rsid w:val="00455AE2"/>
    <w:rsid w:val="00455C3C"/>
    <w:rsid w:val="004566AB"/>
    <w:rsid w:val="004569A9"/>
    <w:rsid w:val="004569EE"/>
    <w:rsid w:val="00456C1B"/>
    <w:rsid w:val="00456FD1"/>
    <w:rsid w:val="00456FE0"/>
    <w:rsid w:val="0045755C"/>
    <w:rsid w:val="0045795A"/>
    <w:rsid w:val="00457E1E"/>
    <w:rsid w:val="004602F9"/>
    <w:rsid w:val="004605AD"/>
    <w:rsid w:val="00460A90"/>
    <w:rsid w:val="00460CFD"/>
    <w:rsid w:val="00460E49"/>
    <w:rsid w:val="0046120C"/>
    <w:rsid w:val="00461683"/>
    <w:rsid w:val="00461845"/>
    <w:rsid w:val="0046204D"/>
    <w:rsid w:val="004622D5"/>
    <w:rsid w:val="004624AB"/>
    <w:rsid w:val="004627FC"/>
    <w:rsid w:val="00462E57"/>
    <w:rsid w:val="004632B4"/>
    <w:rsid w:val="00463FA5"/>
    <w:rsid w:val="004642D7"/>
    <w:rsid w:val="004645D0"/>
    <w:rsid w:val="004646D3"/>
    <w:rsid w:val="004648CC"/>
    <w:rsid w:val="004648E0"/>
    <w:rsid w:val="004649D0"/>
    <w:rsid w:val="00464A4E"/>
    <w:rsid w:val="00464E2E"/>
    <w:rsid w:val="00465168"/>
    <w:rsid w:val="0046533C"/>
    <w:rsid w:val="00465DF3"/>
    <w:rsid w:val="004660A4"/>
    <w:rsid w:val="00466234"/>
    <w:rsid w:val="004662DA"/>
    <w:rsid w:val="00466547"/>
    <w:rsid w:val="004665CD"/>
    <w:rsid w:val="00466789"/>
    <w:rsid w:val="00466859"/>
    <w:rsid w:val="00466898"/>
    <w:rsid w:val="00466BFC"/>
    <w:rsid w:val="00466FD7"/>
    <w:rsid w:val="0046700A"/>
    <w:rsid w:val="0046759F"/>
    <w:rsid w:val="00467726"/>
    <w:rsid w:val="00467C62"/>
    <w:rsid w:val="004703AD"/>
    <w:rsid w:val="00470707"/>
    <w:rsid w:val="004709DF"/>
    <w:rsid w:val="00470B46"/>
    <w:rsid w:val="00471166"/>
    <w:rsid w:val="004714A2"/>
    <w:rsid w:val="00471933"/>
    <w:rsid w:val="00471B49"/>
    <w:rsid w:val="00471BE1"/>
    <w:rsid w:val="00471CC9"/>
    <w:rsid w:val="00471F08"/>
    <w:rsid w:val="00471FA6"/>
    <w:rsid w:val="0047212A"/>
    <w:rsid w:val="0047250B"/>
    <w:rsid w:val="004727D1"/>
    <w:rsid w:val="00472C4F"/>
    <w:rsid w:val="00472CED"/>
    <w:rsid w:val="0047323E"/>
    <w:rsid w:val="0047336E"/>
    <w:rsid w:val="00473423"/>
    <w:rsid w:val="00473450"/>
    <w:rsid w:val="004737D9"/>
    <w:rsid w:val="0047458E"/>
    <w:rsid w:val="004748DB"/>
    <w:rsid w:val="00474BC0"/>
    <w:rsid w:val="00474FD1"/>
    <w:rsid w:val="004752A7"/>
    <w:rsid w:val="004756D2"/>
    <w:rsid w:val="004757B7"/>
    <w:rsid w:val="00475B39"/>
    <w:rsid w:val="00475E00"/>
    <w:rsid w:val="00476018"/>
    <w:rsid w:val="00476A53"/>
    <w:rsid w:val="00476B02"/>
    <w:rsid w:val="00476C39"/>
    <w:rsid w:val="00477938"/>
    <w:rsid w:val="00477B69"/>
    <w:rsid w:val="00477C9F"/>
    <w:rsid w:val="0048061E"/>
    <w:rsid w:val="004806D3"/>
    <w:rsid w:val="00480D18"/>
    <w:rsid w:val="00481690"/>
    <w:rsid w:val="0048181E"/>
    <w:rsid w:val="00481A61"/>
    <w:rsid w:val="00482031"/>
    <w:rsid w:val="004824B7"/>
    <w:rsid w:val="00482859"/>
    <w:rsid w:val="0048285C"/>
    <w:rsid w:val="004828F5"/>
    <w:rsid w:val="00482EBC"/>
    <w:rsid w:val="004831A5"/>
    <w:rsid w:val="00483998"/>
    <w:rsid w:val="004848B7"/>
    <w:rsid w:val="00484C58"/>
    <w:rsid w:val="00484FA4"/>
    <w:rsid w:val="004861B6"/>
    <w:rsid w:val="004864EE"/>
    <w:rsid w:val="004869A9"/>
    <w:rsid w:val="00486DAC"/>
    <w:rsid w:val="00486F01"/>
    <w:rsid w:val="00487032"/>
    <w:rsid w:val="004870D9"/>
    <w:rsid w:val="004872C0"/>
    <w:rsid w:val="00487FD3"/>
    <w:rsid w:val="00490630"/>
    <w:rsid w:val="004906FA"/>
    <w:rsid w:val="00491301"/>
    <w:rsid w:val="004916D4"/>
    <w:rsid w:val="00491B80"/>
    <w:rsid w:val="00491CEB"/>
    <w:rsid w:val="0049206B"/>
    <w:rsid w:val="00492304"/>
    <w:rsid w:val="0049237D"/>
    <w:rsid w:val="00492569"/>
    <w:rsid w:val="00492985"/>
    <w:rsid w:val="00492CF3"/>
    <w:rsid w:val="00492E86"/>
    <w:rsid w:val="00492F37"/>
    <w:rsid w:val="004930C8"/>
    <w:rsid w:val="0049364F"/>
    <w:rsid w:val="004938AF"/>
    <w:rsid w:val="00493ACB"/>
    <w:rsid w:val="004940B2"/>
    <w:rsid w:val="00494325"/>
    <w:rsid w:val="00494520"/>
    <w:rsid w:val="00494625"/>
    <w:rsid w:val="00494DEA"/>
    <w:rsid w:val="00494DF5"/>
    <w:rsid w:val="00495518"/>
    <w:rsid w:val="00495BA8"/>
    <w:rsid w:val="0049638B"/>
    <w:rsid w:val="004964D3"/>
    <w:rsid w:val="00496B94"/>
    <w:rsid w:val="00497962"/>
    <w:rsid w:val="00497FFA"/>
    <w:rsid w:val="004A01A3"/>
    <w:rsid w:val="004A061B"/>
    <w:rsid w:val="004A0A6B"/>
    <w:rsid w:val="004A1493"/>
    <w:rsid w:val="004A14D2"/>
    <w:rsid w:val="004A15B8"/>
    <w:rsid w:val="004A1958"/>
    <w:rsid w:val="004A1CA2"/>
    <w:rsid w:val="004A1CBE"/>
    <w:rsid w:val="004A1E74"/>
    <w:rsid w:val="004A1F28"/>
    <w:rsid w:val="004A250D"/>
    <w:rsid w:val="004A2ACB"/>
    <w:rsid w:val="004A2C2A"/>
    <w:rsid w:val="004A2FBF"/>
    <w:rsid w:val="004A390C"/>
    <w:rsid w:val="004A417C"/>
    <w:rsid w:val="004A422B"/>
    <w:rsid w:val="004A44DD"/>
    <w:rsid w:val="004A472F"/>
    <w:rsid w:val="004A487F"/>
    <w:rsid w:val="004A5BC5"/>
    <w:rsid w:val="004A68AE"/>
    <w:rsid w:val="004A68DA"/>
    <w:rsid w:val="004A6B0E"/>
    <w:rsid w:val="004A6B4A"/>
    <w:rsid w:val="004A7222"/>
    <w:rsid w:val="004A7E2A"/>
    <w:rsid w:val="004B0E4F"/>
    <w:rsid w:val="004B0ECF"/>
    <w:rsid w:val="004B12ED"/>
    <w:rsid w:val="004B18EE"/>
    <w:rsid w:val="004B1ADF"/>
    <w:rsid w:val="004B1D05"/>
    <w:rsid w:val="004B1D90"/>
    <w:rsid w:val="004B1E9E"/>
    <w:rsid w:val="004B214D"/>
    <w:rsid w:val="004B21D6"/>
    <w:rsid w:val="004B22AF"/>
    <w:rsid w:val="004B2EB8"/>
    <w:rsid w:val="004B2F4D"/>
    <w:rsid w:val="004B2F85"/>
    <w:rsid w:val="004B305A"/>
    <w:rsid w:val="004B3076"/>
    <w:rsid w:val="004B328F"/>
    <w:rsid w:val="004B32BA"/>
    <w:rsid w:val="004B3827"/>
    <w:rsid w:val="004B3E3F"/>
    <w:rsid w:val="004B521C"/>
    <w:rsid w:val="004B5B86"/>
    <w:rsid w:val="004B5FE7"/>
    <w:rsid w:val="004B62F6"/>
    <w:rsid w:val="004B64C9"/>
    <w:rsid w:val="004B6633"/>
    <w:rsid w:val="004B68BD"/>
    <w:rsid w:val="004B6E87"/>
    <w:rsid w:val="004B6EF6"/>
    <w:rsid w:val="004B76A2"/>
    <w:rsid w:val="004B7968"/>
    <w:rsid w:val="004B7A61"/>
    <w:rsid w:val="004C02DD"/>
    <w:rsid w:val="004C0A45"/>
    <w:rsid w:val="004C0C22"/>
    <w:rsid w:val="004C0FEB"/>
    <w:rsid w:val="004C11E3"/>
    <w:rsid w:val="004C17C3"/>
    <w:rsid w:val="004C19C5"/>
    <w:rsid w:val="004C1BC9"/>
    <w:rsid w:val="004C256A"/>
    <w:rsid w:val="004C274C"/>
    <w:rsid w:val="004C28A3"/>
    <w:rsid w:val="004C2A24"/>
    <w:rsid w:val="004C2AFF"/>
    <w:rsid w:val="004C3870"/>
    <w:rsid w:val="004C42A5"/>
    <w:rsid w:val="004C45A5"/>
    <w:rsid w:val="004C4EF3"/>
    <w:rsid w:val="004C5164"/>
    <w:rsid w:val="004C5202"/>
    <w:rsid w:val="004C55D2"/>
    <w:rsid w:val="004C56A8"/>
    <w:rsid w:val="004C6213"/>
    <w:rsid w:val="004C6223"/>
    <w:rsid w:val="004C6584"/>
    <w:rsid w:val="004C6823"/>
    <w:rsid w:val="004C69EE"/>
    <w:rsid w:val="004C6F00"/>
    <w:rsid w:val="004C7340"/>
    <w:rsid w:val="004C7362"/>
    <w:rsid w:val="004C75DC"/>
    <w:rsid w:val="004C7EAB"/>
    <w:rsid w:val="004D023B"/>
    <w:rsid w:val="004D073D"/>
    <w:rsid w:val="004D083C"/>
    <w:rsid w:val="004D08DC"/>
    <w:rsid w:val="004D184B"/>
    <w:rsid w:val="004D2556"/>
    <w:rsid w:val="004D26CB"/>
    <w:rsid w:val="004D30CB"/>
    <w:rsid w:val="004D360B"/>
    <w:rsid w:val="004D3827"/>
    <w:rsid w:val="004D3D2F"/>
    <w:rsid w:val="004D407D"/>
    <w:rsid w:val="004D4239"/>
    <w:rsid w:val="004D4A9B"/>
    <w:rsid w:val="004D4E6F"/>
    <w:rsid w:val="004D52A6"/>
    <w:rsid w:val="004D5465"/>
    <w:rsid w:val="004D55C0"/>
    <w:rsid w:val="004D592C"/>
    <w:rsid w:val="004D5AAB"/>
    <w:rsid w:val="004D5F8B"/>
    <w:rsid w:val="004D66D7"/>
    <w:rsid w:val="004D6715"/>
    <w:rsid w:val="004D6957"/>
    <w:rsid w:val="004D6BAD"/>
    <w:rsid w:val="004D766F"/>
    <w:rsid w:val="004D7C70"/>
    <w:rsid w:val="004E012D"/>
    <w:rsid w:val="004E091E"/>
    <w:rsid w:val="004E0B5A"/>
    <w:rsid w:val="004E1206"/>
    <w:rsid w:val="004E1620"/>
    <w:rsid w:val="004E2199"/>
    <w:rsid w:val="004E343C"/>
    <w:rsid w:val="004E38B2"/>
    <w:rsid w:val="004E3B86"/>
    <w:rsid w:val="004E41E9"/>
    <w:rsid w:val="004E4281"/>
    <w:rsid w:val="004E42F5"/>
    <w:rsid w:val="004E46BC"/>
    <w:rsid w:val="004E4701"/>
    <w:rsid w:val="004E47D4"/>
    <w:rsid w:val="004E4EBE"/>
    <w:rsid w:val="004E573B"/>
    <w:rsid w:val="004E59E7"/>
    <w:rsid w:val="004E60AB"/>
    <w:rsid w:val="004E613B"/>
    <w:rsid w:val="004E642F"/>
    <w:rsid w:val="004E66F0"/>
    <w:rsid w:val="004E6A31"/>
    <w:rsid w:val="004E6B83"/>
    <w:rsid w:val="004E71EF"/>
    <w:rsid w:val="004E72C7"/>
    <w:rsid w:val="004E72D0"/>
    <w:rsid w:val="004E73EB"/>
    <w:rsid w:val="004E755F"/>
    <w:rsid w:val="004E77EB"/>
    <w:rsid w:val="004E7944"/>
    <w:rsid w:val="004E7CE8"/>
    <w:rsid w:val="004E7D94"/>
    <w:rsid w:val="004F133B"/>
    <w:rsid w:val="004F151F"/>
    <w:rsid w:val="004F15F7"/>
    <w:rsid w:val="004F19A9"/>
    <w:rsid w:val="004F243B"/>
    <w:rsid w:val="004F2518"/>
    <w:rsid w:val="004F2552"/>
    <w:rsid w:val="004F268D"/>
    <w:rsid w:val="004F3246"/>
    <w:rsid w:val="004F3C17"/>
    <w:rsid w:val="004F3E32"/>
    <w:rsid w:val="004F40C8"/>
    <w:rsid w:val="004F4461"/>
    <w:rsid w:val="004F474F"/>
    <w:rsid w:val="004F479A"/>
    <w:rsid w:val="004F49C5"/>
    <w:rsid w:val="004F4E21"/>
    <w:rsid w:val="004F5773"/>
    <w:rsid w:val="004F57C9"/>
    <w:rsid w:val="004F640E"/>
    <w:rsid w:val="004F6723"/>
    <w:rsid w:val="004F6795"/>
    <w:rsid w:val="004F68E2"/>
    <w:rsid w:val="005002F6"/>
    <w:rsid w:val="00500426"/>
    <w:rsid w:val="00500D3C"/>
    <w:rsid w:val="00501D6F"/>
    <w:rsid w:val="00501E33"/>
    <w:rsid w:val="00502F4B"/>
    <w:rsid w:val="00502FE1"/>
    <w:rsid w:val="00503291"/>
    <w:rsid w:val="00503434"/>
    <w:rsid w:val="00503A3B"/>
    <w:rsid w:val="00504205"/>
    <w:rsid w:val="00504247"/>
    <w:rsid w:val="0050437E"/>
    <w:rsid w:val="005044D3"/>
    <w:rsid w:val="005046E5"/>
    <w:rsid w:val="00504BD4"/>
    <w:rsid w:val="005051F0"/>
    <w:rsid w:val="00505703"/>
    <w:rsid w:val="0050573A"/>
    <w:rsid w:val="0050591B"/>
    <w:rsid w:val="00505D6B"/>
    <w:rsid w:val="00506460"/>
    <w:rsid w:val="005072B0"/>
    <w:rsid w:val="00507971"/>
    <w:rsid w:val="00507BF4"/>
    <w:rsid w:val="00507D7B"/>
    <w:rsid w:val="00507D8B"/>
    <w:rsid w:val="00507F2D"/>
    <w:rsid w:val="00510897"/>
    <w:rsid w:val="0051097E"/>
    <w:rsid w:val="00510CA3"/>
    <w:rsid w:val="0051139D"/>
    <w:rsid w:val="005113E3"/>
    <w:rsid w:val="005115CE"/>
    <w:rsid w:val="00511D81"/>
    <w:rsid w:val="005127A1"/>
    <w:rsid w:val="00512A7F"/>
    <w:rsid w:val="0051380B"/>
    <w:rsid w:val="00513E77"/>
    <w:rsid w:val="005147E2"/>
    <w:rsid w:val="00514A01"/>
    <w:rsid w:val="00514BFB"/>
    <w:rsid w:val="00514F68"/>
    <w:rsid w:val="005150B8"/>
    <w:rsid w:val="00515F38"/>
    <w:rsid w:val="00516802"/>
    <w:rsid w:val="00516A93"/>
    <w:rsid w:val="00516C01"/>
    <w:rsid w:val="00516D71"/>
    <w:rsid w:val="00517158"/>
    <w:rsid w:val="00517732"/>
    <w:rsid w:val="00520102"/>
    <w:rsid w:val="005205AA"/>
    <w:rsid w:val="00520C69"/>
    <w:rsid w:val="00520D50"/>
    <w:rsid w:val="00520F1C"/>
    <w:rsid w:val="00521342"/>
    <w:rsid w:val="005213E6"/>
    <w:rsid w:val="005214DF"/>
    <w:rsid w:val="0052195E"/>
    <w:rsid w:val="005224AD"/>
    <w:rsid w:val="005226C8"/>
    <w:rsid w:val="00522C84"/>
    <w:rsid w:val="005235FA"/>
    <w:rsid w:val="005236C2"/>
    <w:rsid w:val="0052376B"/>
    <w:rsid w:val="005237CD"/>
    <w:rsid w:val="00523A15"/>
    <w:rsid w:val="00523AC7"/>
    <w:rsid w:val="00523C4F"/>
    <w:rsid w:val="00523F59"/>
    <w:rsid w:val="005246AE"/>
    <w:rsid w:val="0052489F"/>
    <w:rsid w:val="005250D8"/>
    <w:rsid w:val="00525312"/>
    <w:rsid w:val="0052620E"/>
    <w:rsid w:val="005264F7"/>
    <w:rsid w:val="005270B7"/>
    <w:rsid w:val="0052722F"/>
    <w:rsid w:val="005273C8"/>
    <w:rsid w:val="00527406"/>
    <w:rsid w:val="00527916"/>
    <w:rsid w:val="00527A6B"/>
    <w:rsid w:val="00527AC1"/>
    <w:rsid w:val="00527B5A"/>
    <w:rsid w:val="0053037B"/>
    <w:rsid w:val="00530394"/>
    <w:rsid w:val="00530464"/>
    <w:rsid w:val="005307CB"/>
    <w:rsid w:val="00530F74"/>
    <w:rsid w:val="00531170"/>
    <w:rsid w:val="0053130B"/>
    <w:rsid w:val="005317B5"/>
    <w:rsid w:val="005317D7"/>
    <w:rsid w:val="00531DE2"/>
    <w:rsid w:val="00532031"/>
    <w:rsid w:val="00532226"/>
    <w:rsid w:val="00532779"/>
    <w:rsid w:val="00532ABB"/>
    <w:rsid w:val="00534C02"/>
    <w:rsid w:val="00534C95"/>
    <w:rsid w:val="00534CA2"/>
    <w:rsid w:val="00535D85"/>
    <w:rsid w:val="00535E80"/>
    <w:rsid w:val="005362D4"/>
    <w:rsid w:val="00536A41"/>
    <w:rsid w:val="00536A68"/>
    <w:rsid w:val="00536DDF"/>
    <w:rsid w:val="005371B0"/>
    <w:rsid w:val="00537CD4"/>
    <w:rsid w:val="00537E5E"/>
    <w:rsid w:val="00540216"/>
    <w:rsid w:val="005405CB"/>
    <w:rsid w:val="00540702"/>
    <w:rsid w:val="0054075F"/>
    <w:rsid w:val="00540BC9"/>
    <w:rsid w:val="00540DFB"/>
    <w:rsid w:val="0054118A"/>
    <w:rsid w:val="00541648"/>
    <w:rsid w:val="0054172F"/>
    <w:rsid w:val="005417AD"/>
    <w:rsid w:val="00541985"/>
    <w:rsid w:val="00541FF8"/>
    <w:rsid w:val="005425AD"/>
    <w:rsid w:val="0054288D"/>
    <w:rsid w:val="005429B0"/>
    <w:rsid w:val="00542B56"/>
    <w:rsid w:val="00542EFD"/>
    <w:rsid w:val="00542FA6"/>
    <w:rsid w:val="00543C26"/>
    <w:rsid w:val="005442FE"/>
    <w:rsid w:val="0054456B"/>
    <w:rsid w:val="00544964"/>
    <w:rsid w:val="00544BA1"/>
    <w:rsid w:val="00544BB3"/>
    <w:rsid w:val="00544CB4"/>
    <w:rsid w:val="005451A4"/>
    <w:rsid w:val="00545CD9"/>
    <w:rsid w:val="0054617C"/>
    <w:rsid w:val="005469FC"/>
    <w:rsid w:val="00546B0A"/>
    <w:rsid w:val="00546E05"/>
    <w:rsid w:val="00546E81"/>
    <w:rsid w:val="005470B8"/>
    <w:rsid w:val="005477DB"/>
    <w:rsid w:val="00550095"/>
    <w:rsid w:val="00550425"/>
    <w:rsid w:val="00550444"/>
    <w:rsid w:val="00550491"/>
    <w:rsid w:val="005504F8"/>
    <w:rsid w:val="005505C5"/>
    <w:rsid w:val="005508B8"/>
    <w:rsid w:val="00550CAC"/>
    <w:rsid w:val="0055109A"/>
    <w:rsid w:val="00551CCA"/>
    <w:rsid w:val="005525A7"/>
    <w:rsid w:val="0055285F"/>
    <w:rsid w:val="00552942"/>
    <w:rsid w:val="00552E24"/>
    <w:rsid w:val="00552F54"/>
    <w:rsid w:val="005536BA"/>
    <w:rsid w:val="0055383C"/>
    <w:rsid w:val="00553AAA"/>
    <w:rsid w:val="00553BB2"/>
    <w:rsid w:val="00553E6A"/>
    <w:rsid w:val="00554930"/>
    <w:rsid w:val="00554D16"/>
    <w:rsid w:val="00554F0E"/>
    <w:rsid w:val="00554F13"/>
    <w:rsid w:val="005552A0"/>
    <w:rsid w:val="00555897"/>
    <w:rsid w:val="00555907"/>
    <w:rsid w:val="00555D86"/>
    <w:rsid w:val="0055609B"/>
    <w:rsid w:val="005568A3"/>
    <w:rsid w:val="00556EA6"/>
    <w:rsid w:val="00557320"/>
    <w:rsid w:val="005576DC"/>
    <w:rsid w:val="0056058E"/>
    <w:rsid w:val="00561089"/>
    <w:rsid w:val="005619A4"/>
    <w:rsid w:val="00562254"/>
    <w:rsid w:val="005628F3"/>
    <w:rsid w:val="00562A7D"/>
    <w:rsid w:val="00562BDF"/>
    <w:rsid w:val="00563179"/>
    <w:rsid w:val="005632C3"/>
    <w:rsid w:val="00563A54"/>
    <w:rsid w:val="00563C31"/>
    <w:rsid w:val="00564120"/>
    <w:rsid w:val="00564240"/>
    <w:rsid w:val="0056499D"/>
    <w:rsid w:val="0056532D"/>
    <w:rsid w:val="0056541A"/>
    <w:rsid w:val="005655DF"/>
    <w:rsid w:val="005655F3"/>
    <w:rsid w:val="00565620"/>
    <w:rsid w:val="005679F2"/>
    <w:rsid w:val="00567C03"/>
    <w:rsid w:val="00567CCC"/>
    <w:rsid w:val="00570E14"/>
    <w:rsid w:val="00570F3F"/>
    <w:rsid w:val="005711ED"/>
    <w:rsid w:val="005712D7"/>
    <w:rsid w:val="005722CE"/>
    <w:rsid w:val="005725C6"/>
    <w:rsid w:val="00572C88"/>
    <w:rsid w:val="00572F44"/>
    <w:rsid w:val="005734C9"/>
    <w:rsid w:val="00573BF1"/>
    <w:rsid w:val="00573F16"/>
    <w:rsid w:val="005743EC"/>
    <w:rsid w:val="00574417"/>
    <w:rsid w:val="00574A3A"/>
    <w:rsid w:val="00574D1A"/>
    <w:rsid w:val="00575471"/>
    <w:rsid w:val="00575585"/>
    <w:rsid w:val="00575BBA"/>
    <w:rsid w:val="00575DAB"/>
    <w:rsid w:val="0057631B"/>
    <w:rsid w:val="00576B26"/>
    <w:rsid w:val="00576B3D"/>
    <w:rsid w:val="00576B75"/>
    <w:rsid w:val="00576B78"/>
    <w:rsid w:val="00576DB0"/>
    <w:rsid w:val="005776B0"/>
    <w:rsid w:val="00580681"/>
    <w:rsid w:val="0058093E"/>
    <w:rsid w:val="00580EEC"/>
    <w:rsid w:val="00581D1E"/>
    <w:rsid w:val="00581D24"/>
    <w:rsid w:val="00582295"/>
    <w:rsid w:val="00582455"/>
    <w:rsid w:val="00582486"/>
    <w:rsid w:val="00582C89"/>
    <w:rsid w:val="00583040"/>
    <w:rsid w:val="00583683"/>
    <w:rsid w:val="0058376B"/>
    <w:rsid w:val="00583B52"/>
    <w:rsid w:val="00583C01"/>
    <w:rsid w:val="00583D6F"/>
    <w:rsid w:val="0058405C"/>
    <w:rsid w:val="005840F7"/>
    <w:rsid w:val="00584326"/>
    <w:rsid w:val="00584378"/>
    <w:rsid w:val="0058437A"/>
    <w:rsid w:val="005843FD"/>
    <w:rsid w:val="00584535"/>
    <w:rsid w:val="00584AAE"/>
    <w:rsid w:val="00584E45"/>
    <w:rsid w:val="00585402"/>
    <w:rsid w:val="005859EE"/>
    <w:rsid w:val="00585A46"/>
    <w:rsid w:val="00585A7A"/>
    <w:rsid w:val="00585FE4"/>
    <w:rsid w:val="005860E4"/>
    <w:rsid w:val="0058621D"/>
    <w:rsid w:val="00586235"/>
    <w:rsid w:val="00586254"/>
    <w:rsid w:val="005863E4"/>
    <w:rsid w:val="00586698"/>
    <w:rsid w:val="005866E3"/>
    <w:rsid w:val="00586C14"/>
    <w:rsid w:val="00587040"/>
    <w:rsid w:val="0059050B"/>
    <w:rsid w:val="00590B63"/>
    <w:rsid w:val="00591605"/>
    <w:rsid w:val="0059161F"/>
    <w:rsid w:val="00591645"/>
    <w:rsid w:val="005916D4"/>
    <w:rsid w:val="00591C83"/>
    <w:rsid w:val="00591DD9"/>
    <w:rsid w:val="005921A6"/>
    <w:rsid w:val="00592BFA"/>
    <w:rsid w:val="00592D4D"/>
    <w:rsid w:val="00592F15"/>
    <w:rsid w:val="0059358F"/>
    <w:rsid w:val="005935B3"/>
    <w:rsid w:val="00593C3B"/>
    <w:rsid w:val="00593C3D"/>
    <w:rsid w:val="00594558"/>
    <w:rsid w:val="00594DDF"/>
    <w:rsid w:val="00595117"/>
    <w:rsid w:val="00595494"/>
    <w:rsid w:val="005954F1"/>
    <w:rsid w:val="005956C4"/>
    <w:rsid w:val="00595708"/>
    <w:rsid w:val="0059573C"/>
    <w:rsid w:val="00595AD2"/>
    <w:rsid w:val="005960B7"/>
    <w:rsid w:val="00596BD0"/>
    <w:rsid w:val="00597043"/>
    <w:rsid w:val="005971E2"/>
    <w:rsid w:val="005972A9"/>
    <w:rsid w:val="00597496"/>
    <w:rsid w:val="005974D2"/>
    <w:rsid w:val="005977A8"/>
    <w:rsid w:val="00597B4B"/>
    <w:rsid w:val="00597CCE"/>
    <w:rsid w:val="00597D04"/>
    <w:rsid w:val="005A0049"/>
    <w:rsid w:val="005A00CD"/>
    <w:rsid w:val="005A0555"/>
    <w:rsid w:val="005A0A15"/>
    <w:rsid w:val="005A0B0B"/>
    <w:rsid w:val="005A1131"/>
    <w:rsid w:val="005A179C"/>
    <w:rsid w:val="005A23BD"/>
    <w:rsid w:val="005A256D"/>
    <w:rsid w:val="005A28C9"/>
    <w:rsid w:val="005A28FC"/>
    <w:rsid w:val="005A2941"/>
    <w:rsid w:val="005A2950"/>
    <w:rsid w:val="005A2A5C"/>
    <w:rsid w:val="005A2B04"/>
    <w:rsid w:val="005A30E2"/>
    <w:rsid w:val="005A375D"/>
    <w:rsid w:val="005A39F2"/>
    <w:rsid w:val="005A4013"/>
    <w:rsid w:val="005A40E0"/>
    <w:rsid w:val="005A41E7"/>
    <w:rsid w:val="005A4C8C"/>
    <w:rsid w:val="005A50FA"/>
    <w:rsid w:val="005A52C0"/>
    <w:rsid w:val="005A5373"/>
    <w:rsid w:val="005A5980"/>
    <w:rsid w:val="005A5A33"/>
    <w:rsid w:val="005A601B"/>
    <w:rsid w:val="005A62D6"/>
    <w:rsid w:val="005A65D9"/>
    <w:rsid w:val="005A6F29"/>
    <w:rsid w:val="005A750B"/>
    <w:rsid w:val="005A7670"/>
    <w:rsid w:val="005A76BB"/>
    <w:rsid w:val="005A7877"/>
    <w:rsid w:val="005A795A"/>
    <w:rsid w:val="005A7C2D"/>
    <w:rsid w:val="005A7CBD"/>
    <w:rsid w:val="005B0255"/>
    <w:rsid w:val="005B02B4"/>
    <w:rsid w:val="005B08EB"/>
    <w:rsid w:val="005B0E83"/>
    <w:rsid w:val="005B1136"/>
    <w:rsid w:val="005B136F"/>
    <w:rsid w:val="005B18C0"/>
    <w:rsid w:val="005B1F5C"/>
    <w:rsid w:val="005B202D"/>
    <w:rsid w:val="005B2133"/>
    <w:rsid w:val="005B23A7"/>
    <w:rsid w:val="005B29A7"/>
    <w:rsid w:val="005B2EE7"/>
    <w:rsid w:val="005B3219"/>
    <w:rsid w:val="005B3442"/>
    <w:rsid w:val="005B358A"/>
    <w:rsid w:val="005B3CDC"/>
    <w:rsid w:val="005B3F5A"/>
    <w:rsid w:val="005B3FBB"/>
    <w:rsid w:val="005B40AB"/>
    <w:rsid w:val="005B45DE"/>
    <w:rsid w:val="005B473D"/>
    <w:rsid w:val="005B4C6F"/>
    <w:rsid w:val="005B51C4"/>
    <w:rsid w:val="005B561C"/>
    <w:rsid w:val="005B5CE6"/>
    <w:rsid w:val="005B61F4"/>
    <w:rsid w:val="005B63C2"/>
    <w:rsid w:val="005B6543"/>
    <w:rsid w:val="005B6BAC"/>
    <w:rsid w:val="005B6D0B"/>
    <w:rsid w:val="005B6EE9"/>
    <w:rsid w:val="005B7489"/>
    <w:rsid w:val="005B7758"/>
    <w:rsid w:val="005B7E68"/>
    <w:rsid w:val="005C03E0"/>
    <w:rsid w:val="005C0574"/>
    <w:rsid w:val="005C0ADA"/>
    <w:rsid w:val="005C0E67"/>
    <w:rsid w:val="005C1147"/>
    <w:rsid w:val="005C1623"/>
    <w:rsid w:val="005C1941"/>
    <w:rsid w:val="005C1A9E"/>
    <w:rsid w:val="005C2172"/>
    <w:rsid w:val="005C24E4"/>
    <w:rsid w:val="005C25CF"/>
    <w:rsid w:val="005C2D79"/>
    <w:rsid w:val="005C33BA"/>
    <w:rsid w:val="005C3A3D"/>
    <w:rsid w:val="005C3AC1"/>
    <w:rsid w:val="005C3AEA"/>
    <w:rsid w:val="005C3FF2"/>
    <w:rsid w:val="005C46D0"/>
    <w:rsid w:val="005C47BA"/>
    <w:rsid w:val="005C49F4"/>
    <w:rsid w:val="005C4AAF"/>
    <w:rsid w:val="005C4B28"/>
    <w:rsid w:val="005C4B9C"/>
    <w:rsid w:val="005C4E7A"/>
    <w:rsid w:val="005C5A30"/>
    <w:rsid w:val="005C5C94"/>
    <w:rsid w:val="005C60EC"/>
    <w:rsid w:val="005C624D"/>
    <w:rsid w:val="005C6780"/>
    <w:rsid w:val="005C73A2"/>
    <w:rsid w:val="005C7A9B"/>
    <w:rsid w:val="005C7D57"/>
    <w:rsid w:val="005D0041"/>
    <w:rsid w:val="005D017A"/>
    <w:rsid w:val="005D02E4"/>
    <w:rsid w:val="005D0546"/>
    <w:rsid w:val="005D0590"/>
    <w:rsid w:val="005D0846"/>
    <w:rsid w:val="005D1212"/>
    <w:rsid w:val="005D155A"/>
    <w:rsid w:val="005D1943"/>
    <w:rsid w:val="005D1A21"/>
    <w:rsid w:val="005D1DAC"/>
    <w:rsid w:val="005D2065"/>
    <w:rsid w:val="005D20F2"/>
    <w:rsid w:val="005D24E1"/>
    <w:rsid w:val="005D2685"/>
    <w:rsid w:val="005D2762"/>
    <w:rsid w:val="005D284D"/>
    <w:rsid w:val="005D2B30"/>
    <w:rsid w:val="005D35A3"/>
    <w:rsid w:val="005D36B6"/>
    <w:rsid w:val="005D3836"/>
    <w:rsid w:val="005D3CB9"/>
    <w:rsid w:val="005D3D8C"/>
    <w:rsid w:val="005D4027"/>
    <w:rsid w:val="005D491A"/>
    <w:rsid w:val="005D50A1"/>
    <w:rsid w:val="005D5722"/>
    <w:rsid w:val="005D5C0E"/>
    <w:rsid w:val="005D5C44"/>
    <w:rsid w:val="005D61D1"/>
    <w:rsid w:val="005D639B"/>
    <w:rsid w:val="005D63EA"/>
    <w:rsid w:val="005D64B6"/>
    <w:rsid w:val="005D65A4"/>
    <w:rsid w:val="005D69F3"/>
    <w:rsid w:val="005D6F1A"/>
    <w:rsid w:val="005D72CA"/>
    <w:rsid w:val="005D7D13"/>
    <w:rsid w:val="005E05BA"/>
    <w:rsid w:val="005E099F"/>
    <w:rsid w:val="005E0A50"/>
    <w:rsid w:val="005E0AE0"/>
    <w:rsid w:val="005E0D09"/>
    <w:rsid w:val="005E0DA8"/>
    <w:rsid w:val="005E0E7C"/>
    <w:rsid w:val="005E1110"/>
    <w:rsid w:val="005E126D"/>
    <w:rsid w:val="005E149B"/>
    <w:rsid w:val="005E292D"/>
    <w:rsid w:val="005E2EA9"/>
    <w:rsid w:val="005E30E1"/>
    <w:rsid w:val="005E30F5"/>
    <w:rsid w:val="005E3946"/>
    <w:rsid w:val="005E3D7D"/>
    <w:rsid w:val="005E3E23"/>
    <w:rsid w:val="005E4935"/>
    <w:rsid w:val="005E544B"/>
    <w:rsid w:val="005E57B5"/>
    <w:rsid w:val="005E5A32"/>
    <w:rsid w:val="005E5AB2"/>
    <w:rsid w:val="005E5FA0"/>
    <w:rsid w:val="005E630F"/>
    <w:rsid w:val="005E6441"/>
    <w:rsid w:val="005E720F"/>
    <w:rsid w:val="005E7595"/>
    <w:rsid w:val="005E7C94"/>
    <w:rsid w:val="005E7D5C"/>
    <w:rsid w:val="005F02B2"/>
    <w:rsid w:val="005F02D3"/>
    <w:rsid w:val="005F0552"/>
    <w:rsid w:val="005F088D"/>
    <w:rsid w:val="005F0EF8"/>
    <w:rsid w:val="005F1282"/>
    <w:rsid w:val="005F14A2"/>
    <w:rsid w:val="005F223E"/>
    <w:rsid w:val="005F2DC9"/>
    <w:rsid w:val="005F2FBE"/>
    <w:rsid w:val="005F3862"/>
    <w:rsid w:val="005F4212"/>
    <w:rsid w:val="005F46B5"/>
    <w:rsid w:val="005F49AA"/>
    <w:rsid w:val="005F6046"/>
    <w:rsid w:val="005F6260"/>
    <w:rsid w:val="005F6845"/>
    <w:rsid w:val="005F6B04"/>
    <w:rsid w:val="00600FD9"/>
    <w:rsid w:val="006014DB"/>
    <w:rsid w:val="0060157B"/>
    <w:rsid w:val="00601607"/>
    <w:rsid w:val="00601658"/>
    <w:rsid w:val="006018AD"/>
    <w:rsid w:val="00601B88"/>
    <w:rsid w:val="006021A7"/>
    <w:rsid w:val="006025FD"/>
    <w:rsid w:val="006027E4"/>
    <w:rsid w:val="00602866"/>
    <w:rsid w:val="00602E56"/>
    <w:rsid w:val="006035BE"/>
    <w:rsid w:val="00603C6C"/>
    <w:rsid w:val="0060403C"/>
    <w:rsid w:val="006041D7"/>
    <w:rsid w:val="00604283"/>
    <w:rsid w:val="00604362"/>
    <w:rsid w:val="00604392"/>
    <w:rsid w:val="006043F1"/>
    <w:rsid w:val="00604B0D"/>
    <w:rsid w:val="00604DCA"/>
    <w:rsid w:val="00605519"/>
    <w:rsid w:val="006062B7"/>
    <w:rsid w:val="00606579"/>
    <w:rsid w:val="0060686E"/>
    <w:rsid w:val="00606D4E"/>
    <w:rsid w:val="0060733F"/>
    <w:rsid w:val="006073CA"/>
    <w:rsid w:val="006109B9"/>
    <w:rsid w:val="00610A35"/>
    <w:rsid w:val="00610A5A"/>
    <w:rsid w:val="0061100C"/>
    <w:rsid w:val="00611395"/>
    <w:rsid w:val="0061156D"/>
    <w:rsid w:val="0061194D"/>
    <w:rsid w:val="00611B68"/>
    <w:rsid w:val="00611F37"/>
    <w:rsid w:val="00611F48"/>
    <w:rsid w:val="0061277B"/>
    <w:rsid w:val="0061329E"/>
    <w:rsid w:val="006133DB"/>
    <w:rsid w:val="0061355E"/>
    <w:rsid w:val="00613775"/>
    <w:rsid w:val="006138BC"/>
    <w:rsid w:val="00613AF0"/>
    <w:rsid w:val="00613F8C"/>
    <w:rsid w:val="006142AC"/>
    <w:rsid w:val="006148B1"/>
    <w:rsid w:val="006150A0"/>
    <w:rsid w:val="00615A7B"/>
    <w:rsid w:val="00615B3D"/>
    <w:rsid w:val="0061603F"/>
    <w:rsid w:val="006160EB"/>
    <w:rsid w:val="00616147"/>
    <w:rsid w:val="00616199"/>
    <w:rsid w:val="00616245"/>
    <w:rsid w:val="0061628A"/>
    <w:rsid w:val="00616469"/>
    <w:rsid w:val="0061661E"/>
    <w:rsid w:val="00616765"/>
    <w:rsid w:val="00616FC3"/>
    <w:rsid w:val="006176FD"/>
    <w:rsid w:val="00617711"/>
    <w:rsid w:val="00617A40"/>
    <w:rsid w:val="00617E01"/>
    <w:rsid w:val="00617E29"/>
    <w:rsid w:val="00617F0B"/>
    <w:rsid w:val="00620772"/>
    <w:rsid w:val="00620BC3"/>
    <w:rsid w:val="00620CB2"/>
    <w:rsid w:val="0062107D"/>
    <w:rsid w:val="00621F41"/>
    <w:rsid w:val="006227E2"/>
    <w:rsid w:val="00622B0C"/>
    <w:rsid w:val="00622BB5"/>
    <w:rsid w:val="00622BCD"/>
    <w:rsid w:val="00622CE6"/>
    <w:rsid w:val="00622D02"/>
    <w:rsid w:val="00622EEC"/>
    <w:rsid w:val="00622FDA"/>
    <w:rsid w:val="00623061"/>
    <w:rsid w:val="006230AD"/>
    <w:rsid w:val="0062326B"/>
    <w:rsid w:val="0062364F"/>
    <w:rsid w:val="00623688"/>
    <w:rsid w:val="00623CE5"/>
    <w:rsid w:val="00623D6A"/>
    <w:rsid w:val="00624467"/>
    <w:rsid w:val="00624631"/>
    <w:rsid w:val="006249DB"/>
    <w:rsid w:val="006253FE"/>
    <w:rsid w:val="00625535"/>
    <w:rsid w:val="00625667"/>
    <w:rsid w:val="0062597C"/>
    <w:rsid w:val="006261C0"/>
    <w:rsid w:val="006261EF"/>
    <w:rsid w:val="0062649B"/>
    <w:rsid w:val="006264B0"/>
    <w:rsid w:val="0062664E"/>
    <w:rsid w:val="00626994"/>
    <w:rsid w:val="00626BFB"/>
    <w:rsid w:val="0062710C"/>
    <w:rsid w:val="006272B0"/>
    <w:rsid w:val="0062759B"/>
    <w:rsid w:val="00627B05"/>
    <w:rsid w:val="00627F58"/>
    <w:rsid w:val="0063072B"/>
    <w:rsid w:val="006309DF"/>
    <w:rsid w:val="00630D21"/>
    <w:rsid w:val="00630F0C"/>
    <w:rsid w:val="00630FEB"/>
    <w:rsid w:val="00631042"/>
    <w:rsid w:val="0063125A"/>
    <w:rsid w:val="006323CD"/>
    <w:rsid w:val="00632DD9"/>
    <w:rsid w:val="006331DB"/>
    <w:rsid w:val="00633207"/>
    <w:rsid w:val="00633508"/>
    <w:rsid w:val="00633578"/>
    <w:rsid w:val="00633B2F"/>
    <w:rsid w:val="00633C98"/>
    <w:rsid w:val="00633F04"/>
    <w:rsid w:val="006341A7"/>
    <w:rsid w:val="00634402"/>
    <w:rsid w:val="00634574"/>
    <w:rsid w:val="0063467A"/>
    <w:rsid w:val="00634A99"/>
    <w:rsid w:val="00634E4A"/>
    <w:rsid w:val="00635145"/>
    <w:rsid w:val="006354DA"/>
    <w:rsid w:val="00635544"/>
    <w:rsid w:val="006356FE"/>
    <w:rsid w:val="00636319"/>
    <w:rsid w:val="006370B9"/>
    <w:rsid w:val="00637550"/>
    <w:rsid w:val="006377AC"/>
    <w:rsid w:val="00637E32"/>
    <w:rsid w:val="00637EA8"/>
    <w:rsid w:val="00637F75"/>
    <w:rsid w:val="00640193"/>
    <w:rsid w:val="00640383"/>
    <w:rsid w:val="006408D0"/>
    <w:rsid w:val="00640F47"/>
    <w:rsid w:val="00641018"/>
    <w:rsid w:val="0064107D"/>
    <w:rsid w:val="00641518"/>
    <w:rsid w:val="00641DF2"/>
    <w:rsid w:val="00641F66"/>
    <w:rsid w:val="006426C2"/>
    <w:rsid w:val="006427E9"/>
    <w:rsid w:val="00642A57"/>
    <w:rsid w:val="00642A79"/>
    <w:rsid w:val="00642B11"/>
    <w:rsid w:val="006433DC"/>
    <w:rsid w:val="0064357F"/>
    <w:rsid w:val="00643B22"/>
    <w:rsid w:val="00643C73"/>
    <w:rsid w:val="00644C27"/>
    <w:rsid w:val="00644CC0"/>
    <w:rsid w:val="00644EA1"/>
    <w:rsid w:val="00644F71"/>
    <w:rsid w:val="00645A35"/>
    <w:rsid w:val="00645E47"/>
    <w:rsid w:val="00645F9C"/>
    <w:rsid w:val="0064659C"/>
    <w:rsid w:val="006466AC"/>
    <w:rsid w:val="006475AF"/>
    <w:rsid w:val="006505D1"/>
    <w:rsid w:val="0065081C"/>
    <w:rsid w:val="00650BA0"/>
    <w:rsid w:val="0065106B"/>
    <w:rsid w:val="006511A3"/>
    <w:rsid w:val="0065121D"/>
    <w:rsid w:val="006512F7"/>
    <w:rsid w:val="00651544"/>
    <w:rsid w:val="006516CB"/>
    <w:rsid w:val="00651B6B"/>
    <w:rsid w:val="00651FDE"/>
    <w:rsid w:val="00652447"/>
    <w:rsid w:val="0065261F"/>
    <w:rsid w:val="006527F5"/>
    <w:rsid w:val="00652B4D"/>
    <w:rsid w:val="006534BB"/>
    <w:rsid w:val="006536C5"/>
    <w:rsid w:val="006538C0"/>
    <w:rsid w:val="006539DB"/>
    <w:rsid w:val="006539DF"/>
    <w:rsid w:val="00653B56"/>
    <w:rsid w:val="00653F3E"/>
    <w:rsid w:val="00654183"/>
    <w:rsid w:val="00654199"/>
    <w:rsid w:val="0065422B"/>
    <w:rsid w:val="00654471"/>
    <w:rsid w:val="006546BB"/>
    <w:rsid w:val="00654B85"/>
    <w:rsid w:val="006550B7"/>
    <w:rsid w:val="0065522F"/>
    <w:rsid w:val="00655791"/>
    <w:rsid w:val="00655DCA"/>
    <w:rsid w:val="00656971"/>
    <w:rsid w:val="00656A3C"/>
    <w:rsid w:val="00656A80"/>
    <w:rsid w:val="00656BA7"/>
    <w:rsid w:val="00656F7C"/>
    <w:rsid w:val="00660070"/>
    <w:rsid w:val="006600D9"/>
    <w:rsid w:val="006604AA"/>
    <w:rsid w:val="006609FA"/>
    <w:rsid w:val="00660DFE"/>
    <w:rsid w:val="00660F30"/>
    <w:rsid w:val="00660F46"/>
    <w:rsid w:val="0066110C"/>
    <w:rsid w:val="0066125A"/>
    <w:rsid w:val="00661383"/>
    <w:rsid w:val="00661973"/>
    <w:rsid w:val="00661D4A"/>
    <w:rsid w:val="00661DAA"/>
    <w:rsid w:val="00661E9E"/>
    <w:rsid w:val="00662046"/>
    <w:rsid w:val="006621FF"/>
    <w:rsid w:val="00662AAF"/>
    <w:rsid w:val="00662F6D"/>
    <w:rsid w:val="00663309"/>
    <w:rsid w:val="00663E66"/>
    <w:rsid w:val="00663FC3"/>
    <w:rsid w:val="0066425C"/>
    <w:rsid w:val="006642F8"/>
    <w:rsid w:val="00664350"/>
    <w:rsid w:val="006647C7"/>
    <w:rsid w:val="00664F46"/>
    <w:rsid w:val="0066606F"/>
    <w:rsid w:val="00666158"/>
    <w:rsid w:val="0066658F"/>
    <w:rsid w:val="00666E9A"/>
    <w:rsid w:val="0066759D"/>
    <w:rsid w:val="0066763C"/>
    <w:rsid w:val="00667C08"/>
    <w:rsid w:val="00667D23"/>
    <w:rsid w:val="00667DEE"/>
    <w:rsid w:val="00667EB5"/>
    <w:rsid w:val="006701BA"/>
    <w:rsid w:val="006704A6"/>
    <w:rsid w:val="00670502"/>
    <w:rsid w:val="006706D6"/>
    <w:rsid w:val="00670C7B"/>
    <w:rsid w:val="00670E68"/>
    <w:rsid w:val="0067231D"/>
    <w:rsid w:val="0067291A"/>
    <w:rsid w:val="00672AB0"/>
    <w:rsid w:val="00672B6E"/>
    <w:rsid w:val="00672BB2"/>
    <w:rsid w:val="00672D14"/>
    <w:rsid w:val="006732AC"/>
    <w:rsid w:val="00674555"/>
    <w:rsid w:val="00674726"/>
    <w:rsid w:val="006748D7"/>
    <w:rsid w:val="00674C60"/>
    <w:rsid w:val="00674E90"/>
    <w:rsid w:val="006754F4"/>
    <w:rsid w:val="00675756"/>
    <w:rsid w:val="00675869"/>
    <w:rsid w:val="0067597B"/>
    <w:rsid w:val="00675AA2"/>
    <w:rsid w:val="00675B76"/>
    <w:rsid w:val="00675C70"/>
    <w:rsid w:val="006765DD"/>
    <w:rsid w:val="00676683"/>
    <w:rsid w:val="006766D9"/>
    <w:rsid w:val="00676889"/>
    <w:rsid w:val="00676B0E"/>
    <w:rsid w:val="00676CDB"/>
    <w:rsid w:val="00677595"/>
    <w:rsid w:val="0067775F"/>
    <w:rsid w:val="006779E2"/>
    <w:rsid w:val="00677AB8"/>
    <w:rsid w:val="00677CE7"/>
    <w:rsid w:val="00677CE8"/>
    <w:rsid w:val="00677D86"/>
    <w:rsid w:val="006800B2"/>
    <w:rsid w:val="006802BC"/>
    <w:rsid w:val="0068059A"/>
    <w:rsid w:val="006805AB"/>
    <w:rsid w:val="00680782"/>
    <w:rsid w:val="006808CE"/>
    <w:rsid w:val="00681231"/>
    <w:rsid w:val="00681271"/>
    <w:rsid w:val="00681572"/>
    <w:rsid w:val="0068157B"/>
    <w:rsid w:val="006817B6"/>
    <w:rsid w:val="006819C6"/>
    <w:rsid w:val="00681A86"/>
    <w:rsid w:val="0068261C"/>
    <w:rsid w:val="00683283"/>
    <w:rsid w:val="00683436"/>
    <w:rsid w:val="00683AE0"/>
    <w:rsid w:val="00683CD6"/>
    <w:rsid w:val="00683DE3"/>
    <w:rsid w:val="00684587"/>
    <w:rsid w:val="00684FA4"/>
    <w:rsid w:val="006856F8"/>
    <w:rsid w:val="00685821"/>
    <w:rsid w:val="006858D2"/>
    <w:rsid w:val="00685D80"/>
    <w:rsid w:val="00685F0E"/>
    <w:rsid w:val="006863A8"/>
    <w:rsid w:val="00686A99"/>
    <w:rsid w:val="00686B85"/>
    <w:rsid w:val="006879A9"/>
    <w:rsid w:val="00687BC9"/>
    <w:rsid w:val="00690452"/>
    <w:rsid w:val="0069089E"/>
    <w:rsid w:val="00691264"/>
    <w:rsid w:val="006914A6"/>
    <w:rsid w:val="00691C18"/>
    <w:rsid w:val="00692219"/>
    <w:rsid w:val="0069237F"/>
    <w:rsid w:val="006923D5"/>
    <w:rsid w:val="00692D73"/>
    <w:rsid w:val="00692F71"/>
    <w:rsid w:val="00693073"/>
    <w:rsid w:val="00693233"/>
    <w:rsid w:val="0069364A"/>
    <w:rsid w:val="00693713"/>
    <w:rsid w:val="006937C9"/>
    <w:rsid w:val="00694029"/>
    <w:rsid w:val="00694142"/>
    <w:rsid w:val="0069430A"/>
    <w:rsid w:val="00694584"/>
    <w:rsid w:val="00694E3B"/>
    <w:rsid w:val="006955BD"/>
    <w:rsid w:val="00695D3C"/>
    <w:rsid w:val="00696521"/>
    <w:rsid w:val="00696799"/>
    <w:rsid w:val="006968A9"/>
    <w:rsid w:val="00696B40"/>
    <w:rsid w:val="006970D1"/>
    <w:rsid w:val="006970D9"/>
    <w:rsid w:val="006976A3"/>
    <w:rsid w:val="0069775B"/>
    <w:rsid w:val="00697760"/>
    <w:rsid w:val="006979C7"/>
    <w:rsid w:val="00697AEA"/>
    <w:rsid w:val="00697D10"/>
    <w:rsid w:val="00697DE3"/>
    <w:rsid w:val="00697E03"/>
    <w:rsid w:val="006A0B21"/>
    <w:rsid w:val="006A0C71"/>
    <w:rsid w:val="006A0EE2"/>
    <w:rsid w:val="006A165E"/>
    <w:rsid w:val="006A195E"/>
    <w:rsid w:val="006A1AA2"/>
    <w:rsid w:val="006A1BCC"/>
    <w:rsid w:val="006A20F2"/>
    <w:rsid w:val="006A24A4"/>
    <w:rsid w:val="006A2E05"/>
    <w:rsid w:val="006A2E81"/>
    <w:rsid w:val="006A2ED4"/>
    <w:rsid w:val="006A3165"/>
    <w:rsid w:val="006A3323"/>
    <w:rsid w:val="006A34A6"/>
    <w:rsid w:val="006A37BC"/>
    <w:rsid w:val="006A38AA"/>
    <w:rsid w:val="006A3B49"/>
    <w:rsid w:val="006A3BC8"/>
    <w:rsid w:val="006A3C60"/>
    <w:rsid w:val="006A416C"/>
    <w:rsid w:val="006A438F"/>
    <w:rsid w:val="006A4B2A"/>
    <w:rsid w:val="006A4D79"/>
    <w:rsid w:val="006A4DEB"/>
    <w:rsid w:val="006A5181"/>
    <w:rsid w:val="006A5838"/>
    <w:rsid w:val="006A5E42"/>
    <w:rsid w:val="006A6277"/>
    <w:rsid w:val="006A67CA"/>
    <w:rsid w:val="006A6BD7"/>
    <w:rsid w:val="006A6CCD"/>
    <w:rsid w:val="006A704B"/>
    <w:rsid w:val="006B001C"/>
    <w:rsid w:val="006B0469"/>
    <w:rsid w:val="006B04F4"/>
    <w:rsid w:val="006B0DF9"/>
    <w:rsid w:val="006B1034"/>
    <w:rsid w:val="006B1842"/>
    <w:rsid w:val="006B1D19"/>
    <w:rsid w:val="006B28BA"/>
    <w:rsid w:val="006B2CDF"/>
    <w:rsid w:val="006B32D0"/>
    <w:rsid w:val="006B3438"/>
    <w:rsid w:val="006B357D"/>
    <w:rsid w:val="006B38A4"/>
    <w:rsid w:val="006B3B24"/>
    <w:rsid w:val="006B3CD0"/>
    <w:rsid w:val="006B3DC4"/>
    <w:rsid w:val="006B3E2F"/>
    <w:rsid w:val="006B47F7"/>
    <w:rsid w:val="006B5275"/>
    <w:rsid w:val="006B568D"/>
    <w:rsid w:val="006B5C06"/>
    <w:rsid w:val="006B5DCA"/>
    <w:rsid w:val="006B5DDE"/>
    <w:rsid w:val="006B5E3F"/>
    <w:rsid w:val="006B60F0"/>
    <w:rsid w:val="006B6277"/>
    <w:rsid w:val="006B6377"/>
    <w:rsid w:val="006B6547"/>
    <w:rsid w:val="006B67BD"/>
    <w:rsid w:val="006B6DE8"/>
    <w:rsid w:val="006B6FB2"/>
    <w:rsid w:val="006B7020"/>
    <w:rsid w:val="006B7198"/>
    <w:rsid w:val="006B7940"/>
    <w:rsid w:val="006B7BFB"/>
    <w:rsid w:val="006B7C2C"/>
    <w:rsid w:val="006C04DA"/>
    <w:rsid w:val="006C05DE"/>
    <w:rsid w:val="006C06D9"/>
    <w:rsid w:val="006C0838"/>
    <w:rsid w:val="006C0A1C"/>
    <w:rsid w:val="006C0ABF"/>
    <w:rsid w:val="006C0B2B"/>
    <w:rsid w:val="006C0CFB"/>
    <w:rsid w:val="006C18A0"/>
    <w:rsid w:val="006C1BA6"/>
    <w:rsid w:val="006C2970"/>
    <w:rsid w:val="006C2AAB"/>
    <w:rsid w:val="006C2BF5"/>
    <w:rsid w:val="006C2EA7"/>
    <w:rsid w:val="006C318F"/>
    <w:rsid w:val="006C322D"/>
    <w:rsid w:val="006C3744"/>
    <w:rsid w:val="006C375A"/>
    <w:rsid w:val="006C381E"/>
    <w:rsid w:val="006C3C26"/>
    <w:rsid w:val="006C4287"/>
    <w:rsid w:val="006C45BF"/>
    <w:rsid w:val="006C4656"/>
    <w:rsid w:val="006C4E55"/>
    <w:rsid w:val="006C4EA3"/>
    <w:rsid w:val="006C4F97"/>
    <w:rsid w:val="006C56AD"/>
    <w:rsid w:val="006C5B5A"/>
    <w:rsid w:val="006C5B96"/>
    <w:rsid w:val="006C639C"/>
    <w:rsid w:val="006C6484"/>
    <w:rsid w:val="006C65E8"/>
    <w:rsid w:val="006C6986"/>
    <w:rsid w:val="006C72BD"/>
    <w:rsid w:val="006C73F2"/>
    <w:rsid w:val="006C768E"/>
    <w:rsid w:val="006C7761"/>
    <w:rsid w:val="006C7B44"/>
    <w:rsid w:val="006D05D9"/>
    <w:rsid w:val="006D120A"/>
    <w:rsid w:val="006D150C"/>
    <w:rsid w:val="006D168B"/>
    <w:rsid w:val="006D1E03"/>
    <w:rsid w:val="006D2148"/>
    <w:rsid w:val="006D22DD"/>
    <w:rsid w:val="006D2307"/>
    <w:rsid w:val="006D2791"/>
    <w:rsid w:val="006D2E3E"/>
    <w:rsid w:val="006D2F59"/>
    <w:rsid w:val="006D389E"/>
    <w:rsid w:val="006D3974"/>
    <w:rsid w:val="006D44A6"/>
    <w:rsid w:val="006D454B"/>
    <w:rsid w:val="006D4801"/>
    <w:rsid w:val="006D4C39"/>
    <w:rsid w:val="006D4FCA"/>
    <w:rsid w:val="006D5255"/>
    <w:rsid w:val="006D53B3"/>
    <w:rsid w:val="006D5A33"/>
    <w:rsid w:val="006D5C63"/>
    <w:rsid w:val="006D5DCF"/>
    <w:rsid w:val="006D5E8B"/>
    <w:rsid w:val="006D739E"/>
    <w:rsid w:val="006D7A08"/>
    <w:rsid w:val="006D7A27"/>
    <w:rsid w:val="006D7A61"/>
    <w:rsid w:val="006D7CA7"/>
    <w:rsid w:val="006E029A"/>
    <w:rsid w:val="006E1713"/>
    <w:rsid w:val="006E1A4D"/>
    <w:rsid w:val="006E2308"/>
    <w:rsid w:val="006E26AC"/>
    <w:rsid w:val="006E2BB9"/>
    <w:rsid w:val="006E371C"/>
    <w:rsid w:val="006E3C5C"/>
    <w:rsid w:val="006E4462"/>
    <w:rsid w:val="006E47E6"/>
    <w:rsid w:val="006E47F2"/>
    <w:rsid w:val="006E4C1D"/>
    <w:rsid w:val="006E5359"/>
    <w:rsid w:val="006E54A5"/>
    <w:rsid w:val="006E56ED"/>
    <w:rsid w:val="006E58BC"/>
    <w:rsid w:val="006E590E"/>
    <w:rsid w:val="006E5960"/>
    <w:rsid w:val="006E5969"/>
    <w:rsid w:val="006E63A7"/>
    <w:rsid w:val="006E640A"/>
    <w:rsid w:val="006E655E"/>
    <w:rsid w:val="006E65F8"/>
    <w:rsid w:val="006E69AE"/>
    <w:rsid w:val="006E7292"/>
    <w:rsid w:val="006E739B"/>
    <w:rsid w:val="006E799B"/>
    <w:rsid w:val="006E7A7D"/>
    <w:rsid w:val="006F017C"/>
    <w:rsid w:val="006F057F"/>
    <w:rsid w:val="006F067D"/>
    <w:rsid w:val="006F06D6"/>
    <w:rsid w:val="006F0753"/>
    <w:rsid w:val="006F0791"/>
    <w:rsid w:val="006F097B"/>
    <w:rsid w:val="006F09EE"/>
    <w:rsid w:val="006F0CCC"/>
    <w:rsid w:val="006F16E7"/>
    <w:rsid w:val="006F1747"/>
    <w:rsid w:val="006F18AE"/>
    <w:rsid w:val="006F1E5C"/>
    <w:rsid w:val="006F2122"/>
    <w:rsid w:val="006F2A9A"/>
    <w:rsid w:val="006F2DAD"/>
    <w:rsid w:val="006F3102"/>
    <w:rsid w:val="006F3517"/>
    <w:rsid w:val="006F385F"/>
    <w:rsid w:val="006F3C8B"/>
    <w:rsid w:val="006F3D0D"/>
    <w:rsid w:val="006F4847"/>
    <w:rsid w:val="006F4A49"/>
    <w:rsid w:val="006F53D9"/>
    <w:rsid w:val="006F5417"/>
    <w:rsid w:val="006F5D36"/>
    <w:rsid w:val="006F5D4E"/>
    <w:rsid w:val="006F6341"/>
    <w:rsid w:val="006F6633"/>
    <w:rsid w:val="006F6D3A"/>
    <w:rsid w:val="006F6F85"/>
    <w:rsid w:val="006F72BA"/>
    <w:rsid w:val="006F76CF"/>
    <w:rsid w:val="006F773B"/>
    <w:rsid w:val="006F7CFF"/>
    <w:rsid w:val="0070039D"/>
    <w:rsid w:val="007006E3"/>
    <w:rsid w:val="0070098E"/>
    <w:rsid w:val="00701199"/>
    <w:rsid w:val="00701515"/>
    <w:rsid w:val="007015CC"/>
    <w:rsid w:val="00701733"/>
    <w:rsid w:val="00701909"/>
    <w:rsid w:val="00701BDC"/>
    <w:rsid w:val="0070252E"/>
    <w:rsid w:val="00702839"/>
    <w:rsid w:val="007029A9"/>
    <w:rsid w:val="00702BEA"/>
    <w:rsid w:val="00702CF0"/>
    <w:rsid w:val="00703042"/>
    <w:rsid w:val="00703997"/>
    <w:rsid w:val="007039D1"/>
    <w:rsid w:val="00703A05"/>
    <w:rsid w:val="00703D97"/>
    <w:rsid w:val="00704014"/>
    <w:rsid w:val="007049CF"/>
    <w:rsid w:val="00704A55"/>
    <w:rsid w:val="00704AA0"/>
    <w:rsid w:val="00705404"/>
    <w:rsid w:val="00705628"/>
    <w:rsid w:val="007058C2"/>
    <w:rsid w:val="00705B77"/>
    <w:rsid w:val="00705C39"/>
    <w:rsid w:val="00705C77"/>
    <w:rsid w:val="00705EA7"/>
    <w:rsid w:val="0070620A"/>
    <w:rsid w:val="007067FF"/>
    <w:rsid w:val="00706A85"/>
    <w:rsid w:val="00706C23"/>
    <w:rsid w:val="00707368"/>
    <w:rsid w:val="0070743E"/>
    <w:rsid w:val="007079E3"/>
    <w:rsid w:val="007100A3"/>
    <w:rsid w:val="007100D4"/>
    <w:rsid w:val="00710808"/>
    <w:rsid w:val="007109FB"/>
    <w:rsid w:val="00710CA4"/>
    <w:rsid w:val="007110EF"/>
    <w:rsid w:val="0071121D"/>
    <w:rsid w:val="0071136E"/>
    <w:rsid w:val="007114E1"/>
    <w:rsid w:val="00711661"/>
    <w:rsid w:val="00711908"/>
    <w:rsid w:val="00711E85"/>
    <w:rsid w:val="00712573"/>
    <w:rsid w:val="00712938"/>
    <w:rsid w:val="00712948"/>
    <w:rsid w:val="007132DD"/>
    <w:rsid w:val="00713393"/>
    <w:rsid w:val="007134B1"/>
    <w:rsid w:val="00713DBE"/>
    <w:rsid w:val="00714013"/>
    <w:rsid w:val="00714052"/>
    <w:rsid w:val="00714B60"/>
    <w:rsid w:val="00714C8B"/>
    <w:rsid w:val="0071559E"/>
    <w:rsid w:val="007162F4"/>
    <w:rsid w:val="00716708"/>
    <w:rsid w:val="00716D59"/>
    <w:rsid w:val="00716D60"/>
    <w:rsid w:val="00717150"/>
    <w:rsid w:val="007178E6"/>
    <w:rsid w:val="00717AB5"/>
    <w:rsid w:val="00717F83"/>
    <w:rsid w:val="007205D4"/>
    <w:rsid w:val="007208EC"/>
    <w:rsid w:val="00720ED4"/>
    <w:rsid w:val="00721165"/>
    <w:rsid w:val="007211C6"/>
    <w:rsid w:val="0072130F"/>
    <w:rsid w:val="00721B6A"/>
    <w:rsid w:val="00721E65"/>
    <w:rsid w:val="00722003"/>
    <w:rsid w:val="0072208B"/>
    <w:rsid w:val="00722211"/>
    <w:rsid w:val="007223E5"/>
    <w:rsid w:val="007225AF"/>
    <w:rsid w:val="00722AD6"/>
    <w:rsid w:val="00723748"/>
    <w:rsid w:val="00723BAA"/>
    <w:rsid w:val="00723CD7"/>
    <w:rsid w:val="00723D85"/>
    <w:rsid w:val="00723F9B"/>
    <w:rsid w:val="00724B44"/>
    <w:rsid w:val="007254E3"/>
    <w:rsid w:val="0072551F"/>
    <w:rsid w:val="00725661"/>
    <w:rsid w:val="0072570A"/>
    <w:rsid w:val="0072685D"/>
    <w:rsid w:val="00726995"/>
    <w:rsid w:val="00726FAB"/>
    <w:rsid w:val="00727369"/>
    <w:rsid w:val="0072778B"/>
    <w:rsid w:val="00727FB9"/>
    <w:rsid w:val="0073010A"/>
    <w:rsid w:val="00730155"/>
    <w:rsid w:val="00730710"/>
    <w:rsid w:val="00730828"/>
    <w:rsid w:val="00730964"/>
    <w:rsid w:val="00730A7A"/>
    <w:rsid w:val="0073137A"/>
    <w:rsid w:val="00731621"/>
    <w:rsid w:val="0073164F"/>
    <w:rsid w:val="007317D4"/>
    <w:rsid w:val="00731E1E"/>
    <w:rsid w:val="00732617"/>
    <w:rsid w:val="00732823"/>
    <w:rsid w:val="00732B9F"/>
    <w:rsid w:val="007331AC"/>
    <w:rsid w:val="007334B1"/>
    <w:rsid w:val="00733905"/>
    <w:rsid w:val="00733A31"/>
    <w:rsid w:val="00733EBD"/>
    <w:rsid w:val="007347DA"/>
    <w:rsid w:val="00734876"/>
    <w:rsid w:val="00734C68"/>
    <w:rsid w:val="00734EE2"/>
    <w:rsid w:val="00734F0A"/>
    <w:rsid w:val="00735707"/>
    <w:rsid w:val="00735736"/>
    <w:rsid w:val="00735CAF"/>
    <w:rsid w:val="00735D22"/>
    <w:rsid w:val="00735E46"/>
    <w:rsid w:val="00735E93"/>
    <w:rsid w:val="00735F09"/>
    <w:rsid w:val="00736B88"/>
    <w:rsid w:val="00737B0F"/>
    <w:rsid w:val="00740293"/>
    <w:rsid w:val="00740370"/>
    <w:rsid w:val="00740401"/>
    <w:rsid w:val="007408EB"/>
    <w:rsid w:val="007409D2"/>
    <w:rsid w:val="007414EF"/>
    <w:rsid w:val="007416A0"/>
    <w:rsid w:val="007416AC"/>
    <w:rsid w:val="00741EB0"/>
    <w:rsid w:val="0074229F"/>
    <w:rsid w:val="00742335"/>
    <w:rsid w:val="00742557"/>
    <w:rsid w:val="00742848"/>
    <w:rsid w:val="00742B61"/>
    <w:rsid w:val="00743069"/>
    <w:rsid w:val="00743684"/>
    <w:rsid w:val="00743CF9"/>
    <w:rsid w:val="00744143"/>
    <w:rsid w:val="00744783"/>
    <w:rsid w:val="00744B5B"/>
    <w:rsid w:val="00744E9E"/>
    <w:rsid w:val="00745365"/>
    <w:rsid w:val="00745558"/>
    <w:rsid w:val="00745616"/>
    <w:rsid w:val="0074586C"/>
    <w:rsid w:val="00745BE8"/>
    <w:rsid w:val="00745E7F"/>
    <w:rsid w:val="00745E80"/>
    <w:rsid w:val="0074600C"/>
    <w:rsid w:val="007465A5"/>
    <w:rsid w:val="007466A9"/>
    <w:rsid w:val="00747184"/>
    <w:rsid w:val="007475C3"/>
    <w:rsid w:val="0074761C"/>
    <w:rsid w:val="00747C7D"/>
    <w:rsid w:val="00750757"/>
    <w:rsid w:val="0075082F"/>
    <w:rsid w:val="007508E0"/>
    <w:rsid w:val="007509E2"/>
    <w:rsid w:val="007510E1"/>
    <w:rsid w:val="00751389"/>
    <w:rsid w:val="00751445"/>
    <w:rsid w:val="00751486"/>
    <w:rsid w:val="007518A7"/>
    <w:rsid w:val="00751A6D"/>
    <w:rsid w:val="00751CEA"/>
    <w:rsid w:val="00751E37"/>
    <w:rsid w:val="00751E9A"/>
    <w:rsid w:val="00752690"/>
    <w:rsid w:val="00752751"/>
    <w:rsid w:val="0075309F"/>
    <w:rsid w:val="00753324"/>
    <w:rsid w:val="0075342B"/>
    <w:rsid w:val="00753924"/>
    <w:rsid w:val="00753A0E"/>
    <w:rsid w:val="00753A3E"/>
    <w:rsid w:val="00753B5A"/>
    <w:rsid w:val="00753EF5"/>
    <w:rsid w:val="00754197"/>
    <w:rsid w:val="007541EF"/>
    <w:rsid w:val="00754210"/>
    <w:rsid w:val="007544D0"/>
    <w:rsid w:val="00754A7D"/>
    <w:rsid w:val="00754AD9"/>
    <w:rsid w:val="00754D98"/>
    <w:rsid w:val="00754EBB"/>
    <w:rsid w:val="00754EF0"/>
    <w:rsid w:val="00755695"/>
    <w:rsid w:val="00755C71"/>
    <w:rsid w:val="00755EAA"/>
    <w:rsid w:val="00755FFC"/>
    <w:rsid w:val="0075614C"/>
    <w:rsid w:val="00756152"/>
    <w:rsid w:val="00756841"/>
    <w:rsid w:val="00756E8F"/>
    <w:rsid w:val="007570CA"/>
    <w:rsid w:val="00757184"/>
    <w:rsid w:val="007571A5"/>
    <w:rsid w:val="00757686"/>
    <w:rsid w:val="00757733"/>
    <w:rsid w:val="0075778D"/>
    <w:rsid w:val="00757BE7"/>
    <w:rsid w:val="00757CF4"/>
    <w:rsid w:val="00757EEE"/>
    <w:rsid w:val="00760669"/>
    <w:rsid w:val="007606AA"/>
    <w:rsid w:val="00760FA0"/>
    <w:rsid w:val="0076112B"/>
    <w:rsid w:val="007612A8"/>
    <w:rsid w:val="00761433"/>
    <w:rsid w:val="007617F3"/>
    <w:rsid w:val="00761D64"/>
    <w:rsid w:val="00761E60"/>
    <w:rsid w:val="00762015"/>
    <w:rsid w:val="00762C30"/>
    <w:rsid w:val="00762CAA"/>
    <w:rsid w:val="00762DFA"/>
    <w:rsid w:val="00762ED8"/>
    <w:rsid w:val="00763262"/>
    <w:rsid w:val="0076330A"/>
    <w:rsid w:val="00763848"/>
    <w:rsid w:val="00763AFB"/>
    <w:rsid w:val="00764096"/>
    <w:rsid w:val="0076453B"/>
    <w:rsid w:val="0076458B"/>
    <w:rsid w:val="0076488A"/>
    <w:rsid w:val="007648B9"/>
    <w:rsid w:val="007653A4"/>
    <w:rsid w:val="00765524"/>
    <w:rsid w:val="007662DA"/>
    <w:rsid w:val="007663FF"/>
    <w:rsid w:val="0076675F"/>
    <w:rsid w:val="00766C18"/>
    <w:rsid w:val="00766D15"/>
    <w:rsid w:val="00767058"/>
    <w:rsid w:val="00767320"/>
    <w:rsid w:val="00767ADD"/>
    <w:rsid w:val="00767C99"/>
    <w:rsid w:val="00770488"/>
    <w:rsid w:val="007704D2"/>
    <w:rsid w:val="00770662"/>
    <w:rsid w:val="00770B14"/>
    <w:rsid w:val="00770DB5"/>
    <w:rsid w:val="00770EE9"/>
    <w:rsid w:val="0077110A"/>
    <w:rsid w:val="00771656"/>
    <w:rsid w:val="007716BB"/>
    <w:rsid w:val="00771C80"/>
    <w:rsid w:val="00772254"/>
    <w:rsid w:val="00772455"/>
    <w:rsid w:val="00772600"/>
    <w:rsid w:val="00772CA4"/>
    <w:rsid w:val="00773161"/>
    <w:rsid w:val="007731C8"/>
    <w:rsid w:val="007732BD"/>
    <w:rsid w:val="00773350"/>
    <w:rsid w:val="0077367D"/>
    <w:rsid w:val="00773CAA"/>
    <w:rsid w:val="00773F58"/>
    <w:rsid w:val="0077414F"/>
    <w:rsid w:val="00774820"/>
    <w:rsid w:val="007749BF"/>
    <w:rsid w:val="00774F16"/>
    <w:rsid w:val="007752AF"/>
    <w:rsid w:val="00776366"/>
    <w:rsid w:val="0077644D"/>
    <w:rsid w:val="00776676"/>
    <w:rsid w:val="0077695C"/>
    <w:rsid w:val="00776C9C"/>
    <w:rsid w:val="00776F94"/>
    <w:rsid w:val="00777113"/>
    <w:rsid w:val="00777509"/>
    <w:rsid w:val="00777789"/>
    <w:rsid w:val="00777876"/>
    <w:rsid w:val="00777DB3"/>
    <w:rsid w:val="00780A2D"/>
    <w:rsid w:val="00780CD2"/>
    <w:rsid w:val="00780ED7"/>
    <w:rsid w:val="007812F8"/>
    <w:rsid w:val="00781982"/>
    <w:rsid w:val="00781EE9"/>
    <w:rsid w:val="0078225D"/>
    <w:rsid w:val="0078275E"/>
    <w:rsid w:val="00782CAC"/>
    <w:rsid w:val="00782DF6"/>
    <w:rsid w:val="00782EDD"/>
    <w:rsid w:val="00783146"/>
    <w:rsid w:val="00783238"/>
    <w:rsid w:val="007839F1"/>
    <w:rsid w:val="00783A19"/>
    <w:rsid w:val="00783D5D"/>
    <w:rsid w:val="007840DB"/>
    <w:rsid w:val="007842F6"/>
    <w:rsid w:val="00784342"/>
    <w:rsid w:val="00784581"/>
    <w:rsid w:val="0078463F"/>
    <w:rsid w:val="007846C0"/>
    <w:rsid w:val="00784835"/>
    <w:rsid w:val="0078522D"/>
    <w:rsid w:val="007853E0"/>
    <w:rsid w:val="007858AB"/>
    <w:rsid w:val="00786FB1"/>
    <w:rsid w:val="007873AD"/>
    <w:rsid w:val="007874F0"/>
    <w:rsid w:val="00787502"/>
    <w:rsid w:val="007876C2"/>
    <w:rsid w:val="0078770D"/>
    <w:rsid w:val="00787E7C"/>
    <w:rsid w:val="00790956"/>
    <w:rsid w:val="00790DBB"/>
    <w:rsid w:val="00790E4B"/>
    <w:rsid w:val="00790F82"/>
    <w:rsid w:val="0079123D"/>
    <w:rsid w:val="00791C64"/>
    <w:rsid w:val="00791F5F"/>
    <w:rsid w:val="00791F8E"/>
    <w:rsid w:val="00792248"/>
    <w:rsid w:val="0079230E"/>
    <w:rsid w:val="007923EB"/>
    <w:rsid w:val="007924C7"/>
    <w:rsid w:val="007925EF"/>
    <w:rsid w:val="007930B8"/>
    <w:rsid w:val="007932A1"/>
    <w:rsid w:val="007937B3"/>
    <w:rsid w:val="007937D5"/>
    <w:rsid w:val="007937F3"/>
    <w:rsid w:val="00793C4E"/>
    <w:rsid w:val="00794552"/>
    <w:rsid w:val="007948EE"/>
    <w:rsid w:val="0079493C"/>
    <w:rsid w:val="00795096"/>
    <w:rsid w:val="0079547A"/>
    <w:rsid w:val="007956C3"/>
    <w:rsid w:val="00795C9C"/>
    <w:rsid w:val="007962CE"/>
    <w:rsid w:val="0079654B"/>
    <w:rsid w:val="007974B2"/>
    <w:rsid w:val="0079760F"/>
    <w:rsid w:val="00797836"/>
    <w:rsid w:val="00797FB1"/>
    <w:rsid w:val="00797FE5"/>
    <w:rsid w:val="007A06A3"/>
    <w:rsid w:val="007A0FE6"/>
    <w:rsid w:val="007A1137"/>
    <w:rsid w:val="007A1222"/>
    <w:rsid w:val="007A14AD"/>
    <w:rsid w:val="007A1A95"/>
    <w:rsid w:val="007A1B94"/>
    <w:rsid w:val="007A1C51"/>
    <w:rsid w:val="007A21A9"/>
    <w:rsid w:val="007A2E12"/>
    <w:rsid w:val="007A2E2C"/>
    <w:rsid w:val="007A2F08"/>
    <w:rsid w:val="007A33BE"/>
    <w:rsid w:val="007A3A88"/>
    <w:rsid w:val="007A3AA2"/>
    <w:rsid w:val="007A4830"/>
    <w:rsid w:val="007A49CE"/>
    <w:rsid w:val="007A4A06"/>
    <w:rsid w:val="007A4EBB"/>
    <w:rsid w:val="007A4F05"/>
    <w:rsid w:val="007A5160"/>
    <w:rsid w:val="007A5994"/>
    <w:rsid w:val="007A5FBD"/>
    <w:rsid w:val="007A61E6"/>
    <w:rsid w:val="007A6206"/>
    <w:rsid w:val="007A62D9"/>
    <w:rsid w:val="007A6AEE"/>
    <w:rsid w:val="007A6C92"/>
    <w:rsid w:val="007A7427"/>
    <w:rsid w:val="007A7876"/>
    <w:rsid w:val="007A7F8C"/>
    <w:rsid w:val="007B02BF"/>
    <w:rsid w:val="007B03FA"/>
    <w:rsid w:val="007B06C1"/>
    <w:rsid w:val="007B08B5"/>
    <w:rsid w:val="007B120C"/>
    <w:rsid w:val="007B1E53"/>
    <w:rsid w:val="007B2760"/>
    <w:rsid w:val="007B292A"/>
    <w:rsid w:val="007B31D1"/>
    <w:rsid w:val="007B3741"/>
    <w:rsid w:val="007B3B65"/>
    <w:rsid w:val="007B3D43"/>
    <w:rsid w:val="007B4381"/>
    <w:rsid w:val="007B4605"/>
    <w:rsid w:val="007B4676"/>
    <w:rsid w:val="007B4701"/>
    <w:rsid w:val="007B488D"/>
    <w:rsid w:val="007B49CD"/>
    <w:rsid w:val="007B5334"/>
    <w:rsid w:val="007B5517"/>
    <w:rsid w:val="007B552D"/>
    <w:rsid w:val="007B64C7"/>
    <w:rsid w:val="007B6B69"/>
    <w:rsid w:val="007B6DC5"/>
    <w:rsid w:val="007B6F6F"/>
    <w:rsid w:val="007B71E2"/>
    <w:rsid w:val="007B71E5"/>
    <w:rsid w:val="007B72B0"/>
    <w:rsid w:val="007B74AB"/>
    <w:rsid w:val="007B74F9"/>
    <w:rsid w:val="007C0828"/>
    <w:rsid w:val="007C0A66"/>
    <w:rsid w:val="007C0B23"/>
    <w:rsid w:val="007C0CB4"/>
    <w:rsid w:val="007C0CCE"/>
    <w:rsid w:val="007C0FC3"/>
    <w:rsid w:val="007C1492"/>
    <w:rsid w:val="007C1A58"/>
    <w:rsid w:val="007C21B9"/>
    <w:rsid w:val="007C25B9"/>
    <w:rsid w:val="007C2E8E"/>
    <w:rsid w:val="007C2F5C"/>
    <w:rsid w:val="007C3454"/>
    <w:rsid w:val="007C34D1"/>
    <w:rsid w:val="007C3E34"/>
    <w:rsid w:val="007C418B"/>
    <w:rsid w:val="007C42D5"/>
    <w:rsid w:val="007C42F8"/>
    <w:rsid w:val="007C43F4"/>
    <w:rsid w:val="007C450A"/>
    <w:rsid w:val="007C4E56"/>
    <w:rsid w:val="007C53F9"/>
    <w:rsid w:val="007C5651"/>
    <w:rsid w:val="007C56A1"/>
    <w:rsid w:val="007C57C8"/>
    <w:rsid w:val="007C5CF7"/>
    <w:rsid w:val="007C63A7"/>
    <w:rsid w:val="007C659D"/>
    <w:rsid w:val="007C6709"/>
    <w:rsid w:val="007C6B50"/>
    <w:rsid w:val="007C6FF6"/>
    <w:rsid w:val="007C70C0"/>
    <w:rsid w:val="007C71BF"/>
    <w:rsid w:val="007C7627"/>
    <w:rsid w:val="007D01CD"/>
    <w:rsid w:val="007D0587"/>
    <w:rsid w:val="007D0E76"/>
    <w:rsid w:val="007D0FEE"/>
    <w:rsid w:val="007D158E"/>
    <w:rsid w:val="007D20AF"/>
    <w:rsid w:val="007D21CE"/>
    <w:rsid w:val="007D304D"/>
    <w:rsid w:val="007D389C"/>
    <w:rsid w:val="007D41ED"/>
    <w:rsid w:val="007D430D"/>
    <w:rsid w:val="007D4472"/>
    <w:rsid w:val="007D4ABD"/>
    <w:rsid w:val="007D4B42"/>
    <w:rsid w:val="007D4F66"/>
    <w:rsid w:val="007D51CC"/>
    <w:rsid w:val="007D57B1"/>
    <w:rsid w:val="007D6369"/>
    <w:rsid w:val="007D63BC"/>
    <w:rsid w:val="007D69E7"/>
    <w:rsid w:val="007D6A66"/>
    <w:rsid w:val="007D6ADB"/>
    <w:rsid w:val="007D6C24"/>
    <w:rsid w:val="007D6DAD"/>
    <w:rsid w:val="007D6FB1"/>
    <w:rsid w:val="007D709F"/>
    <w:rsid w:val="007D71B0"/>
    <w:rsid w:val="007D7608"/>
    <w:rsid w:val="007D76F6"/>
    <w:rsid w:val="007D77B0"/>
    <w:rsid w:val="007D77CF"/>
    <w:rsid w:val="007D7850"/>
    <w:rsid w:val="007E0086"/>
    <w:rsid w:val="007E0287"/>
    <w:rsid w:val="007E0F40"/>
    <w:rsid w:val="007E144A"/>
    <w:rsid w:val="007E17DB"/>
    <w:rsid w:val="007E2276"/>
    <w:rsid w:val="007E23FD"/>
    <w:rsid w:val="007E2A7C"/>
    <w:rsid w:val="007E2AB4"/>
    <w:rsid w:val="007E32A0"/>
    <w:rsid w:val="007E3909"/>
    <w:rsid w:val="007E3ED6"/>
    <w:rsid w:val="007E3FF6"/>
    <w:rsid w:val="007E5530"/>
    <w:rsid w:val="007E56BC"/>
    <w:rsid w:val="007E607C"/>
    <w:rsid w:val="007E6234"/>
    <w:rsid w:val="007E6808"/>
    <w:rsid w:val="007E6919"/>
    <w:rsid w:val="007E7779"/>
    <w:rsid w:val="007E7FCD"/>
    <w:rsid w:val="007E7FDB"/>
    <w:rsid w:val="007F1044"/>
    <w:rsid w:val="007F15F6"/>
    <w:rsid w:val="007F1A3B"/>
    <w:rsid w:val="007F1AC5"/>
    <w:rsid w:val="007F1C35"/>
    <w:rsid w:val="007F1D36"/>
    <w:rsid w:val="007F1E59"/>
    <w:rsid w:val="007F214B"/>
    <w:rsid w:val="007F24A0"/>
    <w:rsid w:val="007F2B3A"/>
    <w:rsid w:val="007F33B3"/>
    <w:rsid w:val="007F34AA"/>
    <w:rsid w:val="007F3546"/>
    <w:rsid w:val="007F3FC5"/>
    <w:rsid w:val="007F4102"/>
    <w:rsid w:val="007F418A"/>
    <w:rsid w:val="007F48C2"/>
    <w:rsid w:val="007F4BC7"/>
    <w:rsid w:val="007F4E21"/>
    <w:rsid w:val="007F51CF"/>
    <w:rsid w:val="007F54FA"/>
    <w:rsid w:val="007F6052"/>
    <w:rsid w:val="007F65A3"/>
    <w:rsid w:val="007F6650"/>
    <w:rsid w:val="007F6836"/>
    <w:rsid w:val="007F6927"/>
    <w:rsid w:val="007F6A1A"/>
    <w:rsid w:val="007F6EFE"/>
    <w:rsid w:val="007F7145"/>
    <w:rsid w:val="007F7203"/>
    <w:rsid w:val="007F74E8"/>
    <w:rsid w:val="007F7D00"/>
    <w:rsid w:val="007F7D9A"/>
    <w:rsid w:val="00800E8F"/>
    <w:rsid w:val="00800FBC"/>
    <w:rsid w:val="00801164"/>
    <w:rsid w:val="00801C5A"/>
    <w:rsid w:val="00801D35"/>
    <w:rsid w:val="00801F78"/>
    <w:rsid w:val="00802156"/>
    <w:rsid w:val="00802F2E"/>
    <w:rsid w:val="00803542"/>
    <w:rsid w:val="00803595"/>
    <w:rsid w:val="00803638"/>
    <w:rsid w:val="0080382B"/>
    <w:rsid w:val="008040FA"/>
    <w:rsid w:val="0080415D"/>
    <w:rsid w:val="008042E2"/>
    <w:rsid w:val="00804FC2"/>
    <w:rsid w:val="0080532B"/>
    <w:rsid w:val="00805620"/>
    <w:rsid w:val="008056F7"/>
    <w:rsid w:val="00805744"/>
    <w:rsid w:val="00805811"/>
    <w:rsid w:val="00805C53"/>
    <w:rsid w:val="00805ED4"/>
    <w:rsid w:val="00806BDD"/>
    <w:rsid w:val="008070E8"/>
    <w:rsid w:val="008078D7"/>
    <w:rsid w:val="00807A12"/>
    <w:rsid w:val="00807CCB"/>
    <w:rsid w:val="00807D43"/>
    <w:rsid w:val="00810F6A"/>
    <w:rsid w:val="008111A7"/>
    <w:rsid w:val="0081191E"/>
    <w:rsid w:val="00811AFC"/>
    <w:rsid w:val="00811F35"/>
    <w:rsid w:val="00811F99"/>
    <w:rsid w:val="0081208C"/>
    <w:rsid w:val="00812090"/>
    <w:rsid w:val="008121A7"/>
    <w:rsid w:val="0081242A"/>
    <w:rsid w:val="00812618"/>
    <w:rsid w:val="00812ACF"/>
    <w:rsid w:val="00812B5A"/>
    <w:rsid w:val="0081336C"/>
    <w:rsid w:val="00813FA7"/>
    <w:rsid w:val="00814B89"/>
    <w:rsid w:val="00815766"/>
    <w:rsid w:val="008157EB"/>
    <w:rsid w:val="00815F20"/>
    <w:rsid w:val="008162E0"/>
    <w:rsid w:val="0081659C"/>
    <w:rsid w:val="008167F1"/>
    <w:rsid w:val="00816965"/>
    <w:rsid w:val="00816CEB"/>
    <w:rsid w:val="00816D38"/>
    <w:rsid w:val="00816E17"/>
    <w:rsid w:val="00816E6B"/>
    <w:rsid w:val="00817673"/>
    <w:rsid w:val="008204AD"/>
    <w:rsid w:val="008206DC"/>
    <w:rsid w:val="008207F6"/>
    <w:rsid w:val="00820C01"/>
    <w:rsid w:val="00820E5D"/>
    <w:rsid w:val="0082103B"/>
    <w:rsid w:val="00821086"/>
    <w:rsid w:val="0082124A"/>
    <w:rsid w:val="0082136A"/>
    <w:rsid w:val="00821CB7"/>
    <w:rsid w:val="008229A4"/>
    <w:rsid w:val="00822B00"/>
    <w:rsid w:val="00822EA6"/>
    <w:rsid w:val="0082331A"/>
    <w:rsid w:val="00823536"/>
    <w:rsid w:val="00823800"/>
    <w:rsid w:val="00823B7D"/>
    <w:rsid w:val="00823F90"/>
    <w:rsid w:val="00823FD9"/>
    <w:rsid w:val="0082426C"/>
    <w:rsid w:val="00824622"/>
    <w:rsid w:val="00824852"/>
    <w:rsid w:val="00824A49"/>
    <w:rsid w:val="008253C9"/>
    <w:rsid w:val="0082580B"/>
    <w:rsid w:val="00825811"/>
    <w:rsid w:val="00825DB2"/>
    <w:rsid w:val="00825DB7"/>
    <w:rsid w:val="00825F87"/>
    <w:rsid w:val="00826297"/>
    <w:rsid w:val="00826650"/>
    <w:rsid w:val="00826C45"/>
    <w:rsid w:val="00827033"/>
    <w:rsid w:val="008277AB"/>
    <w:rsid w:val="008279A5"/>
    <w:rsid w:val="008279DC"/>
    <w:rsid w:val="00827D2C"/>
    <w:rsid w:val="00827DCA"/>
    <w:rsid w:val="00827EFB"/>
    <w:rsid w:val="008303EF"/>
    <w:rsid w:val="0083119A"/>
    <w:rsid w:val="008312BE"/>
    <w:rsid w:val="0083198D"/>
    <w:rsid w:val="00831A83"/>
    <w:rsid w:val="00831EA6"/>
    <w:rsid w:val="00832124"/>
    <w:rsid w:val="008329C6"/>
    <w:rsid w:val="008335B3"/>
    <w:rsid w:val="0083365C"/>
    <w:rsid w:val="00833828"/>
    <w:rsid w:val="00833AB6"/>
    <w:rsid w:val="00834D50"/>
    <w:rsid w:val="00834DB1"/>
    <w:rsid w:val="00835241"/>
    <w:rsid w:val="00835698"/>
    <w:rsid w:val="00835A57"/>
    <w:rsid w:val="00836671"/>
    <w:rsid w:val="00836733"/>
    <w:rsid w:val="00836CF7"/>
    <w:rsid w:val="00837285"/>
    <w:rsid w:val="008374D9"/>
    <w:rsid w:val="008376A1"/>
    <w:rsid w:val="00837787"/>
    <w:rsid w:val="00837E6F"/>
    <w:rsid w:val="0084004D"/>
    <w:rsid w:val="0084042B"/>
    <w:rsid w:val="008406C8"/>
    <w:rsid w:val="00840C09"/>
    <w:rsid w:val="00840FC6"/>
    <w:rsid w:val="008412BD"/>
    <w:rsid w:val="00841376"/>
    <w:rsid w:val="00841644"/>
    <w:rsid w:val="00841837"/>
    <w:rsid w:val="0084197A"/>
    <w:rsid w:val="00841D1E"/>
    <w:rsid w:val="00841E05"/>
    <w:rsid w:val="008431E9"/>
    <w:rsid w:val="0084346D"/>
    <w:rsid w:val="00843E71"/>
    <w:rsid w:val="00844269"/>
    <w:rsid w:val="008445E3"/>
    <w:rsid w:val="00845311"/>
    <w:rsid w:val="008453B8"/>
    <w:rsid w:val="0084545D"/>
    <w:rsid w:val="008455A9"/>
    <w:rsid w:val="008456DD"/>
    <w:rsid w:val="00845768"/>
    <w:rsid w:val="00845861"/>
    <w:rsid w:val="00845CDE"/>
    <w:rsid w:val="00846292"/>
    <w:rsid w:val="00846297"/>
    <w:rsid w:val="0084645E"/>
    <w:rsid w:val="00846487"/>
    <w:rsid w:val="008466AC"/>
    <w:rsid w:val="008467FE"/>
    <w:rsid w:val="00846826"/>
    <w:rsid w:val="0084695A"/>
    <w:rsid w:val="008469D2"/>
    <w:rsid w:val="00846B81"/>
    <w:rsid w:val="00846DAB"/>
    <w:rsid w:val="008472FE"/>
    <w:rsid w:val="00847320"/>
    <w:rsid w:val="008473DF"/>
    <w:rsid w:val="008478E4"/>
    <w:rsid w:val="00847B34"/>
    <w:rsid w:val="00847B46"/>
    <w:rsid w:val="00847B9B"/>
    <w:rsid w:val="0085053F"/>
    <w:rsid w:val="00850CCA"/>
    <w:rsid w:val="00851311"/>
    <w:rsid w:val="00851535"/>
    <w:rsid w:val="0085197F"/>
    <w:rsid w:val="00851A51"/>
    <w:rsid w:val="00851FC1"/>
    <w:rsid w:val="00851FC8"/>
    <w:rsid w:val="008525F4"/>
    <w:rsid w:val="00852855"/>
    <w:rsid w:val="00852D85"/>
    <w:rsid w:val="00852DEA"/>
    <w:rsid w:val="00852F4F"/>
    <w:rsid w:val="00853546"/>
    <w:rsid w:val="00853C5F"/>
    <w:rsid w:val="00853C62"/>
    <w:rsid w:val="00853D99"/>
    <w:rsid w:val="00854660"/>
    <w:rsid w:val="00854710"/>
    <w:rsid w:val="00854A06"/>
    <w:rsid w:val="00854B79"/>
    <w:rsid w:val="00855090"/>
    <w:rsid w:val="008550B7"/>
    <w:rsid w:val="0085596D"/>
    <w:rsid w:val="00855B52"/>
    <w:rsid w:val="00855C9F"/>
    <w:rsid w:val="00855EB8"/>
    <w:rsid w:val="00856281"/>
    <w:rsid w:val="008564A7"/>
    <w:rsid w:val="008564AE"/>
    <w:rsid w:val="00856A8C"/>
    <w:rsid w:val="00856CFB"/>
    <w:rsid w:val="00856FA6"/>
    <w:rsid w:val="00856FCB"/>
    <w:rsid w:val="0085703D"/>
    <w:rsid w:val="008572D2"/>
    <w:rsid w:val="0085735F"/>
    <w:rsid w:val="008576E2"/>
    <w:rsid w:val="0085772B"/>
    <w:rsid w:val="00857BA5"/>
    <w:rsid w:val="00857DF0"/>
    <w:rsid w:val="008602BD"/>
    <w:rsid w:val="00860777"/>
    <w:rsid w:val="00860C8D"/>
    <w:rsid w:val="00860EAB"/>
    <w:rsid w:val="00861118"/>
    <w:rsid w:val="008614CE"/>
    <w:rsid w:val="0086156A"/>
    <w:rsid w:val="00861F8E"/>
    <w:rsid w:val="00862259"/>
    <w:rsid w:val="00862335"/>
    <w:rsid w:val="0086267D"/>
    <w:rsid w:val="0086294B"/>
    <w:rsid w:val="008629C6"/>
    <w:rsid w:val="00862BBD"/>
    <w:rsid w:val="00862F0D"/>
    <w:rsid w:val="008632F7"/>
    <w:rsid w:val="00863532"/>
    <w:rsid w:val="0086372A"/>
    <w:rsid w:val="0086459A"/>
    <w:rsid w:val="00864706"/>
    <w:rsid w:val="0086477D"/>
    <w:rsid w:val="00864D5E"/>
    <w:rsid w:val="00864F6B"/>
    <w:rsid w:val="00865034"/>
    <w:rsid w:val="008656F5"/>
    <w:rsid w:val="00865920"/>
    <w:rsid w:val="00865B58"/>
    <w:rsid w:val="00865E0D"/>
    <w:rsid w:val="00866221"/>
    <w:rsid w:val="00866390"/>
    <w:rsid w:val="00866A46"/>
    <w:rsid w:val="00866A70"/>
    <w:rsid w:val="00866CFF"/>
    <w:rsid w:val="0086704A"/>
    <w:rsid w:val="00867688"/>
    <w:rsid w:val="00867B45"/>
    <w:rsid w:val="00867B72"/>
    <w:rsid w:val="00867DAD"/>
    <w:rsid w:val="00870282"/>
    <w:rsid w:val="008702C1"/>
    <w:rsid w:val="0087030B"/>
    <w:rsid w:val="0087059A"/>
    <w:rsid w:val="00870717"/>
    <w:rsid w:val="00870F9B"/>
    <w:rsid w:val="0087120B"/>
    <w:rsid w:val="00872D29"/>
    <w:rsid w:val="00873137"/>
    <w:rsid w:val="00873450"/>
    <w:rsid w:val="008734B0"/>
    <w:rsid w:val="008737D3"/>
    <w:rsid w:val="00873B42"/>
    <w:rsid w:val="00873EF4"/>
    <w:rsid w:val="008744AC"/>
    <w:rsid w:val="0087476E"/>
    <w:rsid w:val="0087495D"/>
    <w:rsid w:val="00874CF0"/>
    <w:rsid w:val="00874D03"/>
    <w:rsid w:val="00874DE7"/>
    <w:rsid w:val="00875764"/>
    <w:rsid w:val="0087623D"/>
    <w:rsid w:val="00876274"/>
    <w:rsid w:val="00876365"/>
    <w:rsid w:val="008764E5"/>
    <w:rsid w:val="00876D74"/>
    <w:rsid w:val="0087721E"/>
    <w:rsid w:val="008775E8"/>
    <w:rsid w:val="00877914"/>
    <w:rsid w:val="0087793F"/>
    <w:rsid w:val="00877F4C"/>
    <w:rsid w:val="00880166"/>
    <w:rsid w:val="008806BB"/>
    <w:rsid w:val="00880F09"/>
    <w:rsid w:val="00881068"/>
    <w:rsid w:val="00881165"/>
    <w:rsid w:val="0088141A"/>
    <w:rsid w:val="00881E2A"/>
    <w:rsid w:val="00881F16"/>
    <w:rsid w:val="008820A8"/>
    <w:rsid w:val="00882356"/>
    <w:rsid w:val="008827CB"/>
    <w:rsid w:val="0088285B"/>
    <w:rsid w:val="00882FD5"/>
    <w:rsid w:val="00883939"/>
    <w:rsid w:val="00883961"/>
    <w:rsid w:val="008839A5"/>
    <w:rsid w:val="008840E4"/>
    <w:rsid w:val="00884507"/>
    <w:rsid w:val="0088488B"/>
    <w:rsid w:val="008849E1"/>
    <w:rsid w:val="00884D6A"/>
    <w:rsid w:val="00885073"/>
    <w:rsid w:val="00885181"/>
    <w:rsid w:val="0088544E"/>
    <w:rsid w:val="008859B6"/>
    <w:rsid w:val="00885BB9"/>
    <w:rsid w:val="00885CD0"/>
    <w:rsid w:val="00885E83"/>
    <w:rsid w:val="00886413"/>
    <w:rsid w:val="008872C1"/>
    <w:rsid w:val="008878D1"/>
    <w:rsid w:val="00887F12"/>
    <w:rsid w:val="008902C5"/>
    <w:rsid w:val="00890305"/>
    <w:rsid w:val="00890F24"/>
    <w:rsid w:val="0089120B"/>
    <w:rsid w:val="00891566"/>
    <w:rsid w:val="00891786"/>
    <w:rsid w:val="00891AE9"/>
    <w:rsid w:val="00891C1B"/>
    <w:rsid w:val="00892240"/>
    <w:rsid w:val="00892DF0"/>
    <w:rsid w:val="00892E38"/>
    <w:rsid w:val="00893004"/>
    <w:rsid w:val="00893F1B"/>
    <w:rsid w:val="00893F3F"/>
    <w:rsid w:val="0089440B"/>
    <w:rsid w:val="008945DB"/>
    <w:rsid w:val="00894A2E"/>
    <w:rsid w:val="00894B7C"/>
    <w:rsid w:val="008951F3"/>
    <w:rsid w:val="0089550B"/>
    <w:rsid w:val="008967E8"/>
    <w:rsid w:val="008968DA"/>
    <w:rsid w:val="00896AA5"/>
    <w:rsid w:val="00896F48"/>
    <w:rsid w:val="00897B2A"/>
    <w:rsid w:val="00897BA3"/>
    <w:rsid w:val="00897CAA"/>
    <w:rsid w:val="00897D73"/>
    <w:rsid w:val="008A00AA"/>
    <w:rsid w:val="008A068A"/>
    <w:rsid w:val="008A06BE"/>
    <w:rsid w:val="008A0813"/>
    <w:rsid w:val="008A086E"/>
    <w:rsid w:val="008A0BE0"/>
    <w:rsid w:val="008A1888"/>
    <w:rsid w:val="008A2077"/>
    <w:rsid w:val="008A224B"/>
    <w:rsid w:val="008A2C2E"/>
    <w:rsid w:val="008A2C49"/>
    <w:rsid w:val="008A30DB"/>
    <w:rsid w:val="008A3705"/>
    <w:rsid w:val="008A37E1"/>
    <w:rsid w:val="008A3993"/>
    <w:rsid w:val="008A4080"/>
    <w:rsid w:val="008A45C3"/>
    <w:rsid w:val="008A4942"/>
    <w:rsid w:val="008A4A90"/>
    <w:rsid w:val="008A4AA9"/>
    <w:rsid w:val="008A4F8B"/>
    <w:rsid w:val="008A5294"/>
    <w:rsid w:val="008A534D"/>
    <w:rsid w:val="008A574C"/>
    <w:rsid w:val="008A5989"/>
    <w:rsid w:val="008A5B5C"/>
    <w:rsid w:val="008A5F1C"/>
    <w:rsid w:val="008A6082"/>
    <w:rsid w:val="008A60DF"/>
    <w:rsid w:val="008A6BBC"/>
    <w:rsid w:val="008A6D33"/>
    <w:rsid w:val="008A6DAB"/>
    <w:rsid w:val="008A7ECF"/>
    <w:rsid w:val="008B03C0"/>
    <w:rsid w:val="008B0427"/>
    <w:rsid w:val="008B05FA"/>
    <w:rsid w:val="008B07EE"/>
    <w:rsid w:val="008B082C"/>
    <w:rsid w:val="008B0876"/>
    <w:rsid w:val="008B0A93"/>
    <w:rsid w:val="008B0BF1"/>
    <w:rsid w:val="008B25A7"/>
    <w:rsid w:val="008B281A"/>
    <w:rsid w:val="008B2926"/>
    <w:rsid w:val="008B2D5E"/>
    <w:rsid w:val="008B30FA"/>
    <w:rsid w:val="008B32C2"/>
    <w:rsid w:val="008B396A"/>
    <w:rsid w:val="008B3DB5"/>
    <w:rsid w:val="008B3FBC"/>
    <w:rsid w:val="008B4004"/>
    <w:rsid w:val="008B4516"/>
    <w:rsid w:val="008B45E5"/>
    <w:rsid w:val="008B47CE"/>
    <w:rsid w:val="008B48F6"/>
    <w:rsid w:val="008B49A7"/>
    <w:rsid w:val="008B5137"/>
    <w:rsid w:val="008B534C"/>
    <w:rsid w:val="008B5619"/>
    <w:rsid w:val="008B666F"/>
    <w:rsid w:val="008B68D6"/>
    <w:rsid w:val="008B6B28"/>
    <w:rsid w:val="008B6E5E"/>
    <w:rsid w:val="008B6FE4"/>
    <w:rsid w:val="008B72DB"/>
    <w:rsid w:val="008B76ED"/>
    <w:rsid w:val="008B773E"/>
    <w:rsid w:val="008B7754"/>
    <w:rsid w:val="008B7C17"/>
    <w:rsid w:val="008C03FE"/>
    <w:rsid w:val="008C0479"/>
    <w:rsid w:val="008C0A55"/>
    <w:rsid w:val="008C0CDA"/>
    <w:rsid w:val="008C1010"/>
    <w:rsid w:val="008C1647"/>
    <w:rsid w:val="008C16CE"/>
    <w:rsid w:val="008C24A9"/>
    <w:rsid w:val="008C2D69"/>
    <w:rsid w:val="008C2ED1"/>
    <w:rsid w:val="008C3109"/>
    <w:rsid w:val="008C3191"/>
    <w:rsid w:val="008C3585"/>
    <w:rsid w:val="008C36B8"/>
    <w:rsid w:val="008C395C"/>
    <w:rsid w:val="008C3D63"/>
    <w:rsid w:val="008C3FA2"/>
    <w:rsid w:val="008C4926"/>
    <w:rsid w:val="008C4D37"/>
    <w:rsid w:val="008C5423"/>
    <w:rsid w:val="008C5968"/>
    <w:rsid w:val="008C6257"/>
    <w:rsid w:val="008C633B"/>
    <w:rsid w:val="008C6383"/>
    <w:rsid w:val="008C63BD"/>
    <w:rsid w:val="008C63EE"/>
    <w:rsid w:val="008C6B64"/>
    <w:rsid w:val="008C6D8A"/>
    <w:rsid w:val="008C734B"/>
    <w:rsid w:val="008C742C"/>
    <w:rsid w:val="008C7A31"/>
    <w:rsid w:val="008D029E"/>
    <w:rsid w:val="008D09F3"/>
    <w:rsid w:val="008D0E9E"/>
    <w:rsid w:val="008D0ED1"/>
    <w:rsid w:val="008D107F"/>
    <w:rsid w:val="008D18F3"/>
    <w:rsid w:val="008D1E12"/>
    <w:rsid w:val="008D27C1"/>
    <w:rsid w:val="008D2A54"/>
    <w:rsid w:val="008D3489"/>
    <w:rsid w:val="008D3570"/>
    <w:rsid w:val="008D38AE"/>
    <w:rsid w:val="008D45BB"/>
    <w:rsid w:val="008D485E"/>
    <w:rsid w:val="008D538E"/>
    <w:rsid w:val="008D5469"/>
    <w:rsid w:val="008D5A66"/>
    <w:rsid w:val="008D5CD4"/>
    <w:rsid w:val="008D63E6"/>
    <w:rsid w:val="008D67AE"/>
    <w:rsid w:val="008D6C44"/>
    <w:rsid w:val="008D78A6"/>
    <w:rsid w:val="008D7B24"/>
    <w:rsid w:val="008D7E04"/>
    <w:rsid w:val="008E011B"/>
    <w:rsid w:val="008E0417"/>
    <w:rsid w:val="008E151F"/>
    <w:rsid w:val="008E1A14"/>
    <w:rsid w:val="008E1ACC"/>
    <w:rsid w:val="008E20E5"/>
    <w:rsid w:val="008E223B"/>
    <w:rsid w:val="008E2445"/>
    <w:rsid w:val="008E254C"/>
    <w:rsid w:val="008E2CF0"/>
    <w:rsid w:val="008E2D5E"/>
    <w:rsid w:val="008E34E8"/>
    <w:rsid w:val="008E3775"/>
    <w:rsid w:val="008E38A5"/>
    <w:rsid w:val="008E3B79"/>
    <w:rsid w:val="008E3FFE"/>
    <w:rsid w:val="008E55DC"/>
    <w:rsid w:val="008E5AEE"/>
    <w:rsid w:val="008E5B5C"/>
    <w:rsid w:val="008E6263"/>
    <w:rsid w:val="008E64EC"/>
    <w:rsid w:val="008E656A"/>
    <w:rsid w:val="008E673B"/>
    <w:rsid w:val="008E682C"/>
    <w:rsid w:val="008E68A6"/>
    <w:rsid w:val="008E68BB"/>
    <w:rsid w:val="008E6A48"/>
    <w:rsid w:val="008E6E21"/>
    <w:rsid w:val="008E7128"/>
    <w:rsid w:val="008E71D5"/>
    <w:rsid w:val="008E729D"/>
    <w:rsid w:val="008E7408"/>
    <w:rsid w:val="008E75AD"/>
    <w:rsid w:val="008E7A2B"/>
    <w:rsid w:val="008E7FE3"/>
    <w:rsid w:val="008F00E2"/>
    <w:rsid w:val="008F0737"/>
    <w:rsid w:val="008F0AB8"/>
    <w:rsid w:val="008F0BDF"/>
    <w:rsid w:val="008F0BF8"/>
    <w:rsid w:val="008F1E39"/>
    <w:rsid w:val="008F20F2"/>
    <w:rsid w:val="008F2255"/>
    <w:rsid w:val="008F24C4"/>
    <w:rsid w:val="008F2571"/>
    <w:rsid w:val="008F2B90"/>
    <w:rsid w:val="008F2CB4"/>
    <w:rsid w:val="008F2D11"/>
    <w:rsid w:val="008F2D24"/>
    <w:rsid w:val="008F2F4F"/>
    <w:rsid w:val="008F356F"/>
    <w:rsid w:val="008F3591"/>
    <w:rsid w:val="008F36D2"/>
    <w:rsid w:val="008F3795"/>
    <w:rsid w:val="008F3ADF"/>
    <w:rsid w:val="008F3FEE"/>
    <w:rsid w:val="008F4004"/>
    <w:rsid w:val="008F4581"/>
    <w:rsid w:val="008F4B3F"/>
    <w:rsid w:val="008F4B71"/>
    <w:rsid w:val="008F4D25"/>
    <w:rsid w:val="008F4D4A"/>
    <w:rsid w:val="008F4EF6"/>
    <w:rsid w:val="008F5448"/>
    <w:rsid w:val="008F5746"/>
    <w:rsid w:val="008F5A27"/>
    <w:rsid w:val="008F655A"/>
    <w:rsid w:val="008F66C2"/>
    <w:rsid w:val="008F6881"/>
    <w:rsid w:val="008F6AFC"/>
    <w:rsid w:val="008F6B5E"/>
    <w:rsid w:val="008F6CE3"/>
    <w:rsid w:val="008F6EC8"/>
    <w:rsid w:val="008F71AE"/>
    <w:rsid w:val="008F72E6"/>
    <w:rsid w:val="008F743B"/>
    <w:rsid w:val="008F7894"/>
    <w:rsid w:val="0090020D"/>
    <w:rsid w:val="0090057A"/>
    <w:rsid w:val="0090099B"/>
    <w:rsid w:val="00900A66"/>
    <w:rsid w:val="00900E83"/>
    <w:rsid w:val="00900F60"/>
    <w:rsid w:val="0090122F"/>
    <w:rsid w:val="00901438"/>
    <w:rsid w:val="009015F7"/>
    <w:rsid w:val="0090173F"/>
    <w:rsid w:val="00901A90"/>
    <w:rsid w:val="009027AD"/>
    <w:rsid w:val="00902C7A"/>
    <w:rsid w:val="0090355B"/>
    <w:rsid w:val="00904001"/>
    <w:rsid w:val="00904331"/>
    <w:rsid w:val="00904673"/>
    <w:rsid w:val="00904925"/>
    <w:rsid w:val="00904E62"/>
    <w:rsid w:val="00905769"/>
    <w:rsid w:val="009059A9"/>
    <w:rsid w:val="00905C30"/>
    <w:rsid w:val="00905E10"/>
    <w:rsid w:val="009060E0"/>
    <w:rsid w:val="0090624D"/>
    <w:rsid w:val="009067A4"/>
    <w:rsid w:val="009067C4"/>
    <w:rsid w:val="00906B2D"/>
    <w:rsid w:val="00906BB4"/>
    <w:rsid w:val="00906CA7"/>
    <w:rsid w:val="00907671"/>
    <w:rsid w:val="00907822"/>
    <w:rsid w:val="00907C6C"/>
    <w:rsid w:val="00907E02"/>
    <w:rsid w:val="009102B3"/>
    <w:rsid w:val="00910363"/>
    <w:rsid w:val="00910559"/>
    <w:rsid w:val="00910AE5"/>
    <w:rsid w:val="009112E9"/>
    <w:rsid w:val="00911C27"/>
    <w:rsid w:val="0091209D"/>
    <w:rsid w:val="0091244A"/>
    <w:rsid w:val="009126E7"/>
    <w:rsid w:val="00912863"/>
    <w:rsid w:val="00912AD4"/>
    <w:rsid w:val="00912BA7"/>
    <w:rsid w:val="00912DF6"/>
    <w:rsid w:val="00913032"/>
    <w:rsid w:val="0091342A"/>
    <w:rsid w:val="00913587"/>
    <w:rsid w:val="00913729"/>
    <w:rsid w:val="00913D63"/>
    <w:rsid w:val="00914106"/>
    <w:rsid w:val="00914363"/>
    <w:rsid w:val="00914758"/>
    <w:rsid w:val="0091515C"/>
    <w:rsid w:val="0091522B"/>
    <w:rsid w:val="00915795"/>
    <w:rsid w:val="009157CC"/>
    <w:rsid w:val="00915A56"/>
    <w:rsid w:val="00915CBC"/>
    <w:rsid w:val="009160C7"/>
    <w:rsid w:val="009162A0"/>
    <w:rsid w:val="009164D2"/>
    <w:rsid w:val="00916534"/>
    <w:rsid w:val="009165D5"/>
    <w:rsid w:val="009168DF"/>
    <w:rsid w:val="00916F0A"/>
    <w:rsid w:val="00916F72"/>
    <w:rsid w:val="009171F0"/>
    <w:rsid w:val="00917228"/>
    <w:rsid w:val="009175DE"/>
    <w:rsid w:val="00917746"/>
    <w:rsid w:val="00917866"/>
    <w:rsid w:val="009203D9"/>
    <w:rsid w:val="0092072B"/>
    <w:rsid w:val="00920A04"/>
    <w:rsid w:val="00920D71"/>
    <w:rsid w:val="00920ED6"/>
    <w:rsid w:val="00921549"/>
    <w:rsid w:val="0092187F"/>
    <w:rsid w:val="009219B5"/>
    <w:rsid w:val="00922085"/>
    <w:rsid w:val="009221E4"/>
    <w:rsid w:val="009228F7"/>
    <w:rsid w:val="0092297C"/>
    <w:rsid w:val="009229EA"/>
    <w:rsid w:val="00922D24"/>
    <w:rsid w:val="00923105"/>
    <w:rsid w:val="00923C78"/>
    <w:rsid w:val="00923E89"/>
    <w:rsid w:val="0092456A"/>
    <w:rsid w:val="009249CA"/>
    <w:rsid w:val="00925166"/>
    <w:rsid w:val="009253FA"/>
    <w:rsid w:val="00925ABE"/>
    <w:rsid w:val="009260D8"/>
    <w:rsid w:val="009260FC"/>
    <w:rsid w:val="0092656F"/>
    <w:rsid w:val="009267DD"/>
    <w:rsid w:val="00926D55"/>
    <w:rsid w:val="00927109"/>
    <w:rsid w:val="009273C5"/>
    <w:rsid w:val="0092785A"/>
    <w:rsid w:val="00927941"/>
    <w:rsid w:val="00927B04"/>
    <w:rsid w:val="0093042B"/>
    <w:rsid w:val="0093075B"/>
    <w:rsid w:val="009307A1"/>
    <w:rsid w:val="009307E1"/>
    <w:rsid w:val="00930B7A"/>
    <w:rsid w:val="00930D58"/>
    <w:rsid w:val="00931723"/>
    <w:rsid w:val="00932068"/>
    <w:rsid w:val="0093220F"/>
    <w:rsid w:val="00932564"/>
    <w:rsid w:val="00932BA6"/>
    <w:rsid w:val="00932C6E"/>
    <w:rsid w:val="00932C81"/>
    <w:rsid w:val="0093329F"/>
    <w:rsid w:val="009332F0"/>
    <w:rsid w:val="00933361"/>
    <w:rsid w:val="00933560"/>
    <w:rsid w:val="0093392F"/>
    <w:rsid w:val="009340CF"/>
    <w:rsid w:val="009346D0"/>
    <w:rsid w:val="0093475B"/>
    <w:rsid w:val="0093475F"/>
    <w:rsid w:val="009349E8"/>
    <w:rsid w:val="00934B84"/>
    <w:rsid w:val="00934E69"/>
    <w:rsid w:val="009351A7"/>
    <w:rsid w:val="00935A9B"/>
    <w:rsid w:val="00935DF4"/>
    <w:rsid w:val="00936136"/>
    <w:rsid w:val="00936636"/>
    <w:rsid w:val="00936F60"/>
    <w:rsid w:val="009372DD"/>
    <w:rsid w:val="009373E0"/>
    <w:rsid w:val="0093763E"/>
    <w:rsid w:val="0093795E"/>
    <w:rsid w:val="00937C9C"/>
    <w:rsid w:val="0094018E"/>
    <w:rsid w:val="009402C6"/>
    <w:rsid w:val="009404B0"/>
    <w:rsid w:val="009408AA"/>
    <w:rsid w:val="00940A22"/>
    <w:rsid w:val="00940FC6"/>
    <w:rsid w:val="0094116D"/>
    <w:rsid w:val="009416A1"/>
    <w:rsid w:val="0094195E"/>
    <w:rsid w:val="00941C55"/>
    <w:rsid w:val="00941EFD"/>
    <w:rsid w:val="00942056"/>
    <w:rsid w:val="009420CD"/>
    <w:rsid w:val="00942275"/>
    <w:rsid w:val="009423CC"/>
    <w:rsid w:val="009424EE"/>
    <w:rsid w:val="009427FF"/>
    <w:rsid w:val="009429B3"/>
    <w:rsid w:val="009429B9"/>
    <w:rsid w:val="00943253"/>
    <w:rsid w:val="0094338D"/>
    <w:rsid w:val="00943486"/>
    <w:rsid w:val="0094398A"/>
    <w:rsid w:val="00943A96"/>
    <w:rsid w:val="00943B2B"/>
    <w:rsid w:val="00943BF3"/>
    <w:rsid w:val="00943E9F"/>
    <w:rsid w:val="00944230"/>
    <w:rsid w:val="009450AF"/>
    <w:rsid w:val="0094577D"/>
    <w:rsid w:val="009458A5"/>
    <w:rsid w:val="00945942"/>
    <w:rsid w:val="00945CAE"/>
    <w:rsid w:val="009463CB"/>
    <w:rsid w:val="00946833"/>
    <w:rsid w:val="00947121"/>
    <w:rsid w:val="00947148"/>
    <w:rsid w:val="009472E3"/>
    <w:rsid w:val="0094778E"/>
    <w:rsid w:val="00947DDF"/>
    <w:rsid w:val="00947F26"/>
    <w:rsid w:val="00947F8A"/>
    <w:rsid w:val="0095077B"/>
    <w:rsid w:val="00950C02"/>
    <w:rsid w:val="00950E62"/>
    <w:rsid w:val="00951702"/>
    <w:rsid w:val="009518BD"/>
    <w:rsid w:val="0095231C"/>
    <w:rsid w:val="009527C5"/>
    <w:rsid w:val="009528C9"/>
    <w:rsid w:val="00952ECA"/>
    <w:rsid w:val="00953022"/>
    <w:rsid w:val="009532C6"/>
    <w:rsid w:val="00953328"/>
    <w:rsid w:val="00953577"/>
    <w:rsid w:val="0095386F"/>
    <w:rsid w:val="00953DCD"/>
    <w:rsid w:val="00953E29"/>
    <w:rsid w:val="00953F6F"/>
    <w:rsid w:val="009545D5"/>
    <w:rsid w:val="00954872"/>
    <w:rsid w:val="00954E74"/>
    <w:rsid w:val="00954F8A"/>
    <w:rsid w:val="00955243"/>
    <w:rsid w:val="009556F8"/>
    <w:rsid w:val="009557BC"/>
    <w:rsid w:val="00955954"/>
    <w:rsid w:val="00955A22"/>
    <w:rsid w:val="00956754"/>
    <w:rsid w:val="00956CA9"/>
    <w:rsid w:val="00957020"/>
    <w:rsid w:val="0095767D"/>
    <w:rsid w:val="009578FB"/>
    <w:rsid w:val="00957962"/>
    <w:rsid w:val="00957A35"/>
    <w:rsid w:val="00957AAB"/>
    <w:rsid w:val="00957C02"/>
    <w:rsid w:val="00960412"/>
    <w:rsid w:val="0096049E"/>
    <w:rsid w:val="00960906"/>
    <w:rsid w:val="009618CF"/>
    <w:rsid w:val="00961929"/>
    <w:rsid w:val="00961BFA"/>
    <w:rsid w:val="00961E7E"/>
    <w:rsid w:val="00962546"/>
    <w:rsid w:val="00962B1C"/>
    <w:rsid w:val="00962C9D"/>
    <w:rsid w:val="00962CDD"/>
    <w:rsid w:val="009633A8"/>
    <w:rsid w:val="00963508"/>
    <w:rsid w:val="00963586"/>
    <w:rsid w:val="009636CE"/>
    <w:rsid w:val="00963EFE"/>
    <w:rsid w:val="00964F7E"/>
    <w:rsid w:val="00964F91"/>
    <w:rsid w:val="009653BA"/>
    <w:rsid w:val="009655C2"/>
    <w:rsid w:val="009658E3"/>
    <w:rsid w:val="009659A3"/>
    <w:rsid w:val="00965F78"/>
    <w:rsid w:val="0096622C"/>
    <w:rsid w:val="0096624F"/>
    <w:rsid w:val="009662F7"/>
    <w:rsid w:val="0096638F"/>
    <w:rsid w:val="00966889"/>
    <w:rsid w:val="00966CF2"/>
    <w:rsid w:val="00966DF7"/>
    <w:rsid w:val="00967173"/>
    <w:rsid w:val="00967191"/>
    <w:rsid w:val="009679F6"/>
    <w:rsid w:val="00967F07"/>
    <w:rsid w:val="00967F23"/>
    <w:rsid w:val="00967F69"/>
    <w:rsid w:val="00970479"/>
    <w:rsid w:val="009705DC"/>
    <w:rsid w:val="00970C1F"/>
    <w:rsid w:val="00970C52"/>
    <w:rsid w:val="00970D15"/>
    <w:rsid w:val="00971261"/>
    <w:rsid w:val="00971D41"/>
    <w:rsid w:val="00971F31"/>
    <w:rsid w:val="00971F7A"/>
    <w:rsid w:val="00972238"/>
    <w:rsid w:val="009723D2"/>
    <w:rsid w:val="00972814"/>
    <w:rsid w:val="00972C8F"/>
    <w:rsid w:val="00972F66"/>
    <w:rsid w:val="00973016"/>
    <w:rsid w:val="009730A7"/>
    <w:rsid w:val="0097387D"/>
    <w:rsid w:val="00973C81"/>
    <w:rsid w:val="00973DB9"/>
    <w:rsid w:val="0097426A"/>
    <w:rsid w:val="009745CD"/>
    <w:rsid w:val="00974739"/>
    <w:rsid w:val="00974B73"/>
    <w:rsid w:val="00974E0F"/>
    <w:rsid w:val="009750C8"/>
    <w:rsid w:val="009755C5"/>
    <w:rsid w:val="009758E3"/>
    <w:rsid w:val="009759EA"/>
    <w:rsid w:val="00975BF6"/>
    <w:rsid w:val="00976D56"/>
    <w:rsid w:val="00977086"/>
    <w:rsid w:val="009807AC"/>
    <w:rsid w:val="009809AC"/>
    <w:rsid w:val="009809D8"/>
    <w:rsid w:val="00980AA2"/>
    <w:rsid w:val="009814D8"/>
    <w:rsid w:val="0098161A"/>
    <w:rsid w:val="0098187D"/>
    <w:rsid w:val="00981A40"/>
    <w:rsid w:val="00982148"/>
    <w:rsid w:val="0098242B"/>
    <w:rsid w:val="009836F8"/>
    <w:rsid w:val="00983A03"/>
    <w:rsid w:val="00983E94"/>
    <w:rsid w:val="009843A3"/>
    <w:rsid w:val="0098462A"/>
    <w:rsid w:val="0098464D"/>
    <w:rsid w:val="00984CB6"/>
    <w:rsid w:val="00984D71"/>
    <w:rsid w:val="00984FC9"/>
    <w:rsid w:val="0098541C"/>
    <w:rsid w:val="00985627"/>
    <w:rsid w:val="00985827"/>
    <w:rsid w:val="009858FF"/>
    <w:rsid w:val="009861E0"/>
    <w:rsid w:val="00986231"/>
    <w:rsid w:val="00986457"/>
    <w:rsid w:val="009866A6"/>
    <w:rsid w:val="00987484"/>
    <w:rsid w:val="00987598"/>
    <w:rsid w:val="00987706"/>
    <w:rsid w:val="00987EF4"/>
    <w:rsid w:val="00990095"/>
    <w:rsid w:val="0099058F"/>
    <w:rsid w:val="009907A3"/>
    <w:rsid w:val="00990808"/>
    <w:rsid w:val="009908DA"/>
    <w:rsid w:val="00990A99"/>
    <w:rsid w:val="00990F58"/>
    <w:rsid w:val="00990F84"/>
    <w:rsid w:val="0099114F"/>
    <w:rsid w:val="00991231"/>
    <w:rsid w:val="00991489"/>
    <w:rsid w:val="00991AE2"/>
    <w:rsid w:val="00992410"/>
    <w:rsid w:val="00992510"/>
    <w:rsid w:val="00992534"/>
    <w:rsid w:val="009929EE"/>
    <w:rsid w:val="009937D3"/>
    <w:rsid w:val="00993825"/>
    <w:rsid w:val="0099415F"/>
    <w:rsid w:val="00994284"/>
    <w:rsid w:val="0099445C"/>
    <w:rsid w:val="00994851"/>
    <w:rsid w:val="009948A8"/>
    <w:rsid w:val="00994C56"/>
    <w:rsid w:val="00994CE6"/>
    <w:rsid w:val="00994DEE"/>
    <w:rsid w:val="0099542E"/>
    <w:rsid w:val="009954D4"/>
    <w:rsid w:val="00995595"/>
    <w:rsid w:val="0099587B"/>
    <w:rsid w:val="00995DC3"/>
    <w:rsid w:val="0099643C"/>
    <w:rsid w:val="0099653D"/>
    <w:rsid w:val="00996CA6"/>
    <w:rsid w:val="00996DB0"/>
    <w:rsid w:val="00997081"/>
    <w:rsid w:val="0099726B"/>
    <w:rsid w:val="009974C2"/>
    <w:rsid w:val="009975A1"/>
    <w:rsid w:val="00997624"/>
    <w:rsid w:val="0099786A"/>
    <w:rsid w:val="00997C7E"/>
    <w:rsid w:val="00997CE4"/>
    <w:rsid w:val="00997EDB"/>
    <w:rsid w:val="009A0B75"/>
    <w:rsid w:val="009A0C83"/>
    <w:rsid w:val="009A0D69"/>
    <w:rsid w:val="009A1832"/>
    <w:rsid w:val="009A1EFE"/>
    <w:rsid w:val="009A1F3F"/>
    <w:rsid w:val="009A2062"/>
    <w:rsid w:val="009A2640"/>
    <w:rsid w:val="009A269E"/>
    <w:rsid w:val="009A3DC1"/>
    <w:rsid w:val="009A40B3"/>
    <w:rsid w:val="009A4351"/>
    <w:rsid w:val="009A4776"/>
    <w:rsid w:val="009A48DA"/>
    <w:rsid w:val="009A4A0F"/>
    <w:rsid w:val="009A4AEE"/>
    <w:rsid w:val="009A4D29"/>
    <w:rsid w:val="009A522F"/>
    <w:rsid w:val="009A5986"/>
    <w:rsid w:val="009A5A85"/>
    <w:rsid w:val="009A601F"/>
    <w:rsid w:val="009A606E"/>
    <w:rsid w:val="009A60B5"/>
    <w:rsid w:val="009A6A00"/>
    <w:rsid w:val="009A6B7B"/>
    <w:rsid w:val="009A6C25"/>
    <w:rsid w:val="009A77D2"/>
    <w:rsid w:val="009A77EF"/>
    <w:rsid w:val="009A7AE1"/>
    <w:rsid w:val="009A7D5B"/>
    <w:rsid w:val="009A7DBC"/>
    <w:rsid w:val="009B056B"/>
    <w:rsid w:val="009B0FD5"/>
    <w:rsid w:val="009B12D6"/>
    <w:rsid w:val="009B1521"/>
    <w:rsid w:val="009B1958"/>
    <w:rsid w:val="009B1B64"/>
    <w:rsid w:val="009B1E3C"/>
    <w:rsid w:val="009B21A1"/>
    <w:rsid w:val="009B2625"/>
    <w:rsid w:val="009B2644"/>
    <w:rsid w:val="009B26BA"/>
    <w:rsid w:val="009B2B14"/>
    <w:rsid w:val="009B3326"/>
    <w:rsid w:val="009B36C8"/>
    <w:rsid w:val="009B3978"/>
    <w:rsid w:val="009B4088"/>
    <w:rsid w:val="009B48E9"/>
    <w:rsid w:val="009B49DF"/>
    <w:rsid w:val="009B4A23"/>
    <w:rsid w:val="009B4CE3"/>
    <w:rsid w:val="009B4D4C"/>
    <w:rsid w:val="009B534D"/>
    <w:rsid w:val="009B59AF"/>
    <w:rsid w:val="009B6275"/>
    <w:rsid w:val="009B6763"/>
    <w:rsid w:val="009B6954"/>
    <w:rsid w:val="009B6E46"/>
    <w:rsid w:val="009B6F40"/>
    <w:rsid w:val="009B7CBB"/>
    <w:rsid w:val="009B7F81"/>
    <w:rsid w:val="009B7FAB"/>
    <w:rsid w:val="009C0106"/>
    <w:rsid w:val="009C0D13"/>
    <w:rsid w:val="009C0F94"/>
    <w:rsid w:val="009C1060"/>
    <w:rsid w:val="009C11D3"/>
    <w:rsid w:val="009C1204"/>
    <w:rsid w:val="009C1427"/>
    <w:rsid w:val="009C2106"/>
    <w:rsid w:val="009C297D"/>
    <w:rsid w:val="009C2ACA"/>
    <w:rsid w:val="009C2DF2"/>
    <w:rsid w:val="009C30CF"/>
    <w:rsid w:val="009C361B"/>
    <w:rsid w:val="009C38F9"/>
    <w:rsid w:val="009C39C8"/>
    <w:rsid w:val="009C3A4A"/>
    <w:rsid w:val="009C3E07"/>
    <w:rsid w:val="009C45A7"/>
    <w:rsid w:val="009C482F"/>
    <w:rsid w:val="009C4D5C"/>
    <w:rsid w:val="009C5672"/>
    <w:rsid w:val="009C59AE"/>
    <w:rsid w:val="009C5F0F"/>
    <w:rsid w:val="009C628B"/>
    <w:rsid w:val="009C636C"/>
    <w:rsid w:val="009C655E"/>
    <w:rsid w:val="009C673F"/>
    <w:rsid w:val="009C683B"/>
    <w:rsid w:val="009C6CF3"/>
    <w:rsid w:val="009C711F"/>
    <w:rsid w:val="009C7687"/>
    <w:rsid w:val="009C79C2"/>
    <w:rsid w:val="009D030F"/>
    <w:rsid w:val="009D08CE"/>
    <w:rsid w:val="009D0C24"/>
    <w:rsid w:val="009D1129"/>
    <w:rsid w:val="009D122D"/>
    <w:rsid w:val="009D131A"/>
    <w:rsid w:val="009D1AFC"/>
    <w:rsid w:val="009D2111"/>
    <w:rsid w:val="009D2275"/>
    <w:rsid w:val="009D2842"/>
    <w:rsid w:val="009D2A6F"/>
    <w:rsid w:val="009D2B4B"/>
    <w:rsid w:val="009D2DD9"/>
    <w:rsid w:val="009D3115"/>
    <w:rsid w:val="009D3794"/>
    <w:rsid w:val="009D3EC3"/>
    <w:rsid w:val="009D4065"/>
    <w:rsid w:val="009D457B"/>
    <w:rsid w:val="009D46A9"/>
    <w:rsid w:val="009D46AA"/>
    <w:rsid w:val="009D470B"/>
    <w:rsid w:val="009D4792"/>
    <w:rsid w:val="009D489E"/>
    <w:rsid w:val="009D4991"/>
    <w:rsid w:val="009D4A48"/>
    <w:rsid w:val="009D4B84"/>
    <w:rsid w:val="009D4E41"/>
    <w:rsid w:val="009D5077"/>
    <w:rsid w:val="009D5103"/>
    <w:rsid w:val="009D526E"/>
    <w:rsid w:val="009D538F"/>
    <w:rsid w:val="009D54DF"/>
    <w:rsid w:val="009D5659"/>
    <w:rsid w:val="009D5849"/>
    <w:rsid w:val="009D58F8"/>
    <w:rsid w:val="009D59FD"/>
    <w:rsid w:val="009D6388"/>
    <w:rsid w:val="009D657B"/>
    <w:rsid w:val="009D6861"/>
    <w:rsid w:val="009D69BF"/>
    <w:rsid w:val="009D6E82"/>
    <w:rsid w:val="009D6EF8"/>
    <w:rsid w:val="009D7767"/>
    <w:rsid w:val="009E0631"/>
    <w:rsid w:val="009E11EE"/>
    <w:rsid w:val="009E1283"/>
    <w:rsid w:val="009E16BC"/>
    <w:rsid w:val="009E1DAD"/>
    <w:rsid w:val="009E2191"/>
    <w:rsid w:val="009E2207"/>
    <w:rsid w:val="009E228D"/>
    <w:rsid w:val="009E246B"/>
    <w:rsid w:val="009E2681"/>
    <w:rsid w:val="009E3387"/>
    <w:rsid w:val="009E33DE"/>
    <w:rsid w:val="009E34D4"/>
    <w:rsid w:val="009E3558"/>
    <w:rsid w:val="009E42DF"/>
    <w:rsid w:val="009E436E"/>
    <w:rsid w:val="009E47F8"/>
    <w:rsid w:val="009E48EA"/>
    <w:rsid w:val="009E4F76"/>
    <w:rsid w:val="009E5893"/>
    <w:rsid w:val="009E58F4"/>
    <w:rsid w:val="009E59A0"/>
    <w:rsid w:val="009E5B0F"/>
    <w:rsid w:val="009E5B5B"/>
    <w:rsid w:val="009E5E62"/>
    <w:rsid w:val="009E5FAF"/>
    <w:rsid w:val="009E609A"/>
    <w:rsid w:val="009E7124"/>
    <w:rsid w:val="009E78AC"/>
    <w:rsid w:val="009E7B3F"/>
    <w:rsid w:val="009E7D7E"/>
    <w:rsid w:val="009F0427"/>
    <w:rsid w:val="009F0D75"/>
    <w:rsid w:val="009F101F"/>
    <w:rsid w:val="009F138C"/>
    <w:rsid w:val="009F197D"/>
    <w:rsid w:val="009F1E2A"/>
    <w:rsid w:val="009F24C9"/>
    <w:rsid w:val="009F2A83"/>
    <w:rsid w:val="009F3FA8"/>
    <w:rsid w:val="009F435E"/>
    <w:rsid w:val="009F47AB"/>
    <w:rsid w:val="009F4875"/>
    <w:rsid w:val="009F4A76"/>
    <w:rsid w:val="009F4E6C"/>
    <w:rsid w:val="009F5429"/>
    <w:rsid w:val="009F5D56"/>
    <w:rsid w:val="009F6058"/>
    <w:rsid w:val="009F60FC"/>
    <w:rsid w:val="009F621D"/>
    <w:rsid w:val="009F65A2"/>
    <w:rsid w:val="009F6C1D"/>
    <w:rsid w:val="009F740B"/>
    <w:rsid w:val="009F7467"/>
    <w:rsid w:val="009F7C4F"/>
    <w:rsid w:val="00A004A9"/>
    <w:rsid w:val="00A00F95"/>
    <w:rsid w:val="00A014CF"/>
    <w:rsid w:val="00A01592"/>
    <w:rsid w:val="00A019B8"/>
    <w:rsid w:val="00A01B72"/>
    <w:rsid w:val="00A01E0B"/>
    <w:rsid w:val="00A01EFE"/>
    <w:rsid w:val="00A02429"/>
    <w:rsid w:val="00A02B5B"/>
    <w:rsid w:val="00A038B2"/>
    <w:rsid w:val="00A03DE8"/>
    <w:rsid w:val="00A03F8B"/>
    <w:rsid w:val="00A049D2"/>
    <w:rsid w:val="00A05686"/>
    <w:rsid w:val="00A06344"/>
    <w:rsid w:val="00A0637D"/>
    <w:rsid w:val="00A06724"/>
    <w:rsid w:val="00A06AFB"/>
    <w:rsid w:val="00A06EC9"/>
    <w:rsid w:val="00A07287"/>
    <w:rsid w:val="00A072AC"/>
    <w:rsid w:val="00A07360"/>
    <w:rsid w:val="00A07447"/>
    <w:rsid w:val="00A07497"/>
    <w:rsid w:val="00A105C1"/>
    <w:rsid w:val="00A108DD"/>
    <w:rsid w:val="00A108F0"/>
    <w:rsid w:val="00A11044"/>
    <w:rsid w:val="00A1134E"/>
    <w:rsid w:val="00A11B48"/>
    <w:rsid w:val="00A11D59"/>
    <w:rsid w:val="00A122D4"/>
    <w:rsid w:val="00A12409"/>
    <w:rsid w:val="00A12624"/>
    <w:rsid w:val="00A126B8"/>
    <w:rsid w:val="00A12E6E"/>
    <w:rsid w:val="00A12F7D"/>
    <w:rsid w:val="00A13460"/>
    <w:rsid w:val="00A138EC"/>
    <w:rsid w:val="00A1392A"/>
    <w:rsid w:val="00A143F8"/>
    <w:rsid w:val="00A14599"/>
    <w:rsid w:val="00A14688"/>
    <w:rsid w:val="00A1481C"/>
    <w:rsid w:val="00A14A94"/>
    <w:rsid w:val="00A14CD6"/>
    <w:rsid w:val="00A150ED"/>
    <w:rsid w:val="00A151CE"/>
    <w:rsid w:val="00A1566B"/>
    <w:rsid w:val="00A1567C"/>
    <w:rsid w:val="00A15729"/>
    <w:rsid w:val="00A15979"/>
    <w:rsid w:val="00A159ED"/>
    <w:rsid w:val="00A15E3F"/>
    <w:rsid w:val="00A16439"/>
    <w:rsid w:val="00A16854"/>
    <w:rsid w:val="00A178C4"/>
    <w:rsid w:val="00A17EB9"/>
    <w:rsid w:val="00A2024E"/>
    <w:rsid w:val="00A219F5"/>
    <w:rsid w:val="00A21D06"/>
    <w:rsid w:val="00A21E96"/>
    <w:rsid w:val="00A225A7"/>
    <w:rsid w:val="00A231C3"/>
    <w:rsid w:val="00A237BF"/>
    <w:rsid w:val="00A23B26"/>
    <w:rsid w:val="00A24144"/>
    <w:rsid w:val="00A242B9"/>
    <w:rsid w:val="00A242DC"/>
    <w:rsid w:val="00A243B7"/>
    <w:rsid w:val="00A244FA"/>
    <w:rsid w:val="00A24596"/>
    <w:rsid w:val="00A246C3"/>
    <w:rsid w:val="00A246C5"/>
    <w:rsid w:val="00A246E8"/>
    <w:rsid w:val="00A24859"/>
    <w:rsid w:val="00A2545D"/>
    <w:rsid w:val="00A25EC4"/>
    <w:rsid w:val="00A26036"/>
    <w:rsid w:val="00A2660A"/>
    <w:rsid w:val="00A268A0"/>
    <w:rsid w:val="00A268D7"/>
    <w:rsid w:val="00A27511"/>
    <w:rsid w:val="00A27682"/>
    <w:rsid w:val="00A27A26"/>
    <w:rsid w:val="00A305F6"/>
    <w:rsid w:val="00A3090E"/>
    <w:rsid w:val="00A3092A"/>
    <w:rsid w:val="00A30DFB"/>
    <w:rsid w:val="00A31339"/>
    <w:rsid w:val="00A31639"/>
    <w:rsid w:val="00A31A78"/>
    <w:rsid w:val="00A31C41"/>
    <w:rsid w:val="00A32934"/>
    <w:rsid w:val="00A3293A"/>
    <w:rsid w:val="00A32C77"/>
    <w:rsid w:val="00A32F36"/>
    <w:rsid w:val="00A3303B"/>
    <w:rsid w:val="00A3308E"/>
    <w:rsid w:val="00A330CB"/>
    <w:rsid w:val="00A33350"/>
    <w:rsid w:val="00A3352C"/>
    <w:rsid w:val="00A336B6"/>
    <w:rsid w:val="00A33789"/>
    <w:rsid w:val="00A3410A"/>
    <w:rsid w:val="00A34493"/>
    <w:rsid w:val="00A34884"/>
    <w:rsid w:val="00A348F4"/>
    <w:rsid w:val="00A356FF"/>
    <w:rsid w:val="00A3587D"/>
    <w:rsid w:val="00A35888"/>
    <w:rsid w:val="00A35C2D"/>
    <w:rsid w:val="00A37336"/>
    <w:rsid w:val="00A375B2"/>
    <w:rsid w:val="00A376A7"/>
    <w:rsid w:val="00A37B60"/>
    <w:rsid w:val="00A409CE"/>
    <w:rsid w:val="00A40A5D"/>
    <w:rsid w:val="00A40DFF"/>
    <w:rsid w:val="00A4134F"/>
    <w:rsid w:val="00A4180D"/>
    <w:rsid w:val="00A41CD9"/>
    <w:rsid w:val="00A41CEA"/>
    <w:rsid w:val="00A41FB0"/>
    <w:rsid w:val="00A4248F"/>
    <w:rsid w:val="00A426D2"/>
    <w:rsid w:val="00A42813"/>
    <w:rsid w:val="00A4287C"/>
    <w:rsid w:val="00A42B65"/>
    <w:rsid w:val="00A431BF"/>
    <w:rsid w:val="00A431C4"/>
    <w:rsid w:val="00A433E0"/>
    <w:rsid w:val="00A43426"/>
    <w:rsid w:val="00A43875"/>
    <w:rsid w:val="00A43D98"/>
    <w:rsid w:val="00A44621"/>
    <w:rsid w:val="00A448E8"/>
    <w:rsid w:val="00A44CA1"/>
    <w:rsid w:val="00A44F97"/>
    <w:rsid w:val="00A45441"/>
    <w:rsid w:val="00A454B6"/>
    <w:rsid w:val="00A45F8D"/>
    <w:rsid w:val="00A46544"/>
    <w:rsid w:val="00A468A6"/>
    <w:rsid w:val="00A470E4"/>
    <w:rsid w:val="00A471A7"/>
    <w:rsid w:val="00A474F7"/>
    <w:rsid w:val="00A47A5B"/>
    <w:rsid w:val="00A47E16"/>
    <w:rsid w:val="00A5017F"/>
    <w:rsid w:val="00A50328"/>
    <w:rsid w:val="00A5062A"/>
    <w:rsid w:val="00A50725"/>
    <w:rsid w:val="00A508E9"/>
    <w:rsid w:val="00A50A9D"/>
    <w:rsid w:val="00A50C97"/>
    <w:rsid w:val="00A50EE4"/>
    <w:rsid w:val="00A51DDE"/>
    <w:rsid w:val="00A52687"/>
    <w:rsid w:val="00A5290A"/>
    <w:rsid w:val="00A52B21"/>
    <w:rsid w:val="00A52B44"/>
    <w:rsid w:val="00A52E88"/>
    <w:rsid w:val="00A52EB3"/>
    <w:rsid w:val="00A53168"/>
    <w:rsid w:val="00A5330A"/>
    <w:rsid w:val="00A5388C"/>
    <w:rsid w:val="00A538DD"/>
    <w:rsid w:val="00A53A35"/>
    <w:rsid w:val="00A53A47"/>
    <w:rsid w:val="00A5426F"/>
    <w:rsid w:val="00A544AF"/>
    <w:rsid w:val="00A54769"/>
    <w:rsid w:val="00A549BE"/>
    <w:rsid w:val="00A549ED"/>
    <w:rsid w:val="00A54D53"/>
    <w:rsid w:val="00A553BD"/>
    <w:rsid w:val="00A554B2"/>
    <w:rsid w:val="00A55516"/>
    <w:rsid w:val="00A5583F"/>
    <w:rsid w:val="00A561E0"/>
    <w:rsid w:val="00A562E4"/>
    <w:rsid w:val="00A566C1"/>
    <w:rsid w:val="00A568A7"/>
    <w:rsid w:val="00A56B1C"/>
    <w:rsid w:val="00A57413"/>
    <w:rsid w:val="00A5772F"/>
    <w:rsid w:val="00A57A09"/>
    <w:rsid w:val="00A57B24"/>
    <w:rsid w:val="00A57B97"/>
    <w:rsid w:val="00A6020D"/>
    <w:rsid w:val="00A602FD"/>
    <w:rsid w:val="00A61454"/>
    <w:rsid w:val="00A614D2"/>
    <w:rsid w:val="00A61C17"/>
    <w:rsid w:val="00A62530"/>
    <w:rsid w:val="00A62706"/>
    <w:rsid w:val="00A62999"/>
    <w:rsid w:val="00A63537"/>
    <w:rsid w:val="00A6375A"/>
    <w:rsid w:val="00A637D6"/>
    <w:rsid w:val="00A63B42"/>
    <w:rsid w:val="00A63CE7"/>
    <w:rsid w:val="00A6410C"/>
    <w:rsid w:val="00A643AB"/>
    <w:rsid w:val="00A6446B"/>
    <w:rsid w:val="00A64727"/>
    <w:rsid w:val="00A64A96"/>
    <w:rsid w:val="00A64BEC"/>
    <w:rsid w:val="00A64F7E"/>
    <w:rsid w:val="00A65192"/>
    <w:rsid w:val="00A6562E"/>
    <w:rsid w:val="00A65710"/>
    <w:rsid w:val="00A65D63"/>
    <w:rsid w:val="00A65F46"/>
    <w:rsid w:val="00A66488"/>
    <w:rsid w:val="00A66657"/>
    <w:rsid w:val="00A66BB5"/>
    <w:rsid w:val="00A66D24"/>
    <w:rsid w:val="00A66DC5"/>
    <w:rsid w:val="00A670B5"/>
    <w:rsid w:val="00A67841"/>
    <w:rsid w:val="00A6795F"/>
    <w:rsid w:val="00A67A18"/>
    <w:rsid w:val="00A70069"/>
    <w:rsid w:val="00A70252"/>
    <w:rsid w:val="00A7029A"/>
    <w:rsid w:val="00A702F3"/>
    <w:rsid w:val="00A70B1B"/>
    <w:rsid w:val="00A70F41"/>
    <w:rsid w:val="00A71171"/>
    <w:rsid w:val="00A71219"/>
    <w:rsid w:val="00A713BF"/>
    <w:rsid w:val="00A71761"/>
    <w:rsid w:val="00A71AA1"/>
    <w:rsid w:val="00A71F14"/>
    <w:rsid w:val="00A71F1B"/>
    <w:rsid w:val="00A72414"/>
    <w:rsid w:val="00A7267A"/>
    <w:rsid w:val="00A729D6"/>
    <w:rsid w:val="00A72A41"/>
    <w:rsid w:val="00A72D85"/>
    <w:rsid w:val="00A72E9B"/>
    <w:rsid w:val="00A72EA1"/>
    <w:rsid w:val="00A733AF"/>
    <w:rsid w:val="00A73486"/>
    <w:rsid w:val="00A738A6"/>
    <w:rsid w:val="00A73937"/>
    <w:rsid w:val="00A73BA1"/>
    <w:rsid w:val="00A73BE7"/>
    <w:rsid w:val="00A73CBB"/>
    <w:rsid w:val="00A73DD3"/>
    <w:rsid w:val="00A74625"/>
    <w:rsid w:val="00A74742"/>
    <w:rsid w:val="00A747D3"/>
    <w:rsid w:val="00A74FD8"/>
    <w:rsid w:val="00A75147"/>
    <w:rsid w:val="00A75373"/>
    <w:rsid w:val="00A75392"/>
    <w:rsid w:val="00A75822"/>
    <w:rsid w:val="00A75A6D"/>
    <w:rsid w:val="00A76148"/>
    <w:rsid w:val="00A761D9"/>
    <w:rsid w:val="00A762C9"/>
    <w:rsid w:val="00A76481"/>
    <w:rsid w:val="00A767F2"/>
    <w:rsid w:val="00A76A56"/>
    <w:rsid w:val="00A76C76"/>
    <w:rsid w:val="00A77AA2"/>
    <w:rsid w:val="00A80214"/>
    <w:rsid w:val="00A80324"/>
    <w:rsid w:val="00A8043B"/>
    <w:rsid w:val="00A80696"/>
    <w:rsid w:val="00A80796"/>
    <w:rsid w:val="00A80811"/>
    <w:rsid w:val="00A81257"/>
    <w:rsid w:val="00A8175D"/>
    <w:rsid w:val="00A81D3D"/>
    <w:rsid w:val="00A82163"/>
    <w:rsid w:val="00A824E0"/>
    <w:rsid w:val="00A82709"/>
    <w:rsid w:val="00A8282A"/>
    <w:rsid w:val="00A8292D"/>
    <w:rsid w:val="00A8298E"/>
    <w:rsid w:val="00A82A72"/>
    <w:rsid w:val="00A82DE7"/>
    <w:rsid w:val="00A82FEB"/>
    <w:rsid w:val="00A83264"/>
    <w:rsid w:val="00A83BD2"/>
    <w:rsid w:val="00A83DF5"/>
    <w:rsid w:val="00A84691"/>
    <w:rsid w:val="00A8470D"/>
    <w:rsid w:val="00A85433"/>
    <w:rsid w:val="00A85461"/>
    <w:rsid w:val="00A85CE5"/>
    <w:rsid w:val="00A85E38"/>
    <w:rsid w:val="00A86055"/>
    <w:rsid w:val="00A8686E"/>
    <w:rsid w:val="00A86DCE"/>
    <w:rsid w:val="00A86DDD"/>
    <w:rsid w:val="00A87A98"/>
    <w:rsid w:val="00A904DB"/>
    <w:rsid w:val="00A90B3D"/>
    <w:rsid w:val="00A9105E"/>
    <w:rsid w:val="00A9186B"/>
    <w:rsid w:val="00A91A39"/>
    <w:rsid w:val="00A9240C"/>
    <w:rsid w:val="00A92560"/>
    <w:rsid w:val="00A929FF"/>
    <w:rsid w:val="00A92C69"/>
    <w:rsid w:val="00A930BB"/>
    <w:rsid w:val="00A93300"/>
    <w:rsid w:val="00A933AE"/>
    <w:rsid w:val="00A93637"/>
    <w:rsid w:val="00A93922"/>
    <w:rsid w:val="00A93D77"/>
    <w:rsid w:val="00A93FC5"/>
    <w:rsid w:val="00A943E6"/>
    <w:rsid w:val="00A94466"/>
    <w:rsid w:val="00A947A2"/>
    <w:rsid w:val="00A94818"/>
    <w:rsid w:val="00A94D25"/>
    <w:rsid w:val="00A94EC1"/>
    <w:rsid w:val="00A9563C"/>
    <w:rsid w:val="00A95749"/>
    <w:rsid w:val="00A9577B"/>
    <w:rsid w:val="00A95816"/>
    <w:rsid w:val="00A95D1E"/>
    <w:rsid w:val="00A964CA"/>
    <w:rsid w:val="00A966BD"/>
    <w:rsid w:val="00A96932"/>
    <w:rsid w:val="00A96A46"/>
    <w:rsid w:val="00A96AEF"/>
    <w:rsid w:val="00A97547"/>
    <w:rsid w:val="00A97C94"/>
    <w:rsid w:val="00AA1513"/>
    <w:rsid w:val="00AA16F8"/>
    <w:rsid w:val="00AA195E"/>
    <w:rsid w:val="00AA208F"/>
    <w:rsid w:val="00AA20F0"/>
    <w:rsid w:val="00AA2861"/>
    <w:rsid w:val="00AA2B4D"/>
    <w:rsid w:val="00AA2C91"/>
    <w:rsid w:val="00AA323F"/>
    <w:rsid w:val="00AA330E"/>
    <w:rsid w:val="00AA4266"/>
    <w:rsid w:val="00AA44B3"/>
    <w:rsid w:val="00AA4630"/>
    <w:rsid w:val="00AA4F1F"/>
    <w:rsid w:val="00AA4FC3"/>
    <w:rsid w:val="00AA54B5"/>
    <w:rsid w:val="00AA60E4"/>
    <w:rsid w:val="00AA615F"/>
    <w:rsid w:val="00AA632D"/>
    <w:rsid w:val="00AA6910"/>
    <w:rsid w:val="00AA6C03"/>
    <w:rsid w:val="00AA6E8B"/>
    <w:rsid w:val="00AA7195"/>
    <w:rsid w:val="00AA73F8"/>
    <w:rsid w:val="00AA747D"/>
    <w:rsid w:val="00AA7654"/>
    <w:rsid w:val="00AA78C9"/>
    <w:rsid w:val="00AA7A7C"/>
    <w:rsid w:val="00AB0392"/>
    <w:rsid w:val="00AB03CA"/>
    <w:rsid w:val="00AB0DF0"/>
    <w:rsid w:val="00AB0F1D"/>
    <w:rsid w:val="00AB0F71"/>
    <w:rsid w:val="00AB1696"/>
    <w:rsid w:val="00AB1B9D"/>
    <w:rsid w:val="00AB1BC1"/>
    <w:rsid w:val="00AB1E37"/>
    <w:rsid w:val="00AB1FEA"/>
    <w:rsid w:val="00AB27A2"/>
    <w:rsid w:val="00AB307D"/>
    <w:rsid w:val="00AB31E6"/>
    <w:rsid w:val="00AB3382"/>
    <w:rsid w:val="00AB38C3"/>
    <w:rsid w:val="00AB3920"/>
    <w:rsid w:val="00AB3A71"/>
    <w:rsid w:val="00AB3CDB"/>
    <w:rsid w:val="00AB40BE"/>
    <w:rsid w:val="00AB448E"/>
    <w:rsid w:val="00AB468D"/>
    <w:rsid w:val="00AB4E0B"/>
    <w:rsid w:val="00AB5059"/>
    <w:rsid w:val="00AB5723"/>
    <w:rsid w:val="00AB5782"/>
    <w:rsid w:val="00AB6662"/>
    <w:rsid w:val="00AB683D"/>
    <w:rsid w:val="00AB7616"/>
    <w:rsid w:val="00AB7F0C"/>
    <w:rsid w:val="00AC0486"/>
    <w:rsid w:val="00AC0D2D"/>
    <w:rsid w:val="00AC0F31"/>
    <w:rsid w:val="00AC11A2"/>
    <w:rsid w:val="00AC1400"/>
    <w:rsid w:val="00AC1E38"/>
    <w:rsid w:val="00AC1FD8"/>
    <w:rsid w:val="00AC2088"/>
    <w:rsid w:val="00AC2415"/>
    <w:rsid w:val="00AC2490"/>
    <w:rsid w:val="00AC2B23"/>
    <w:rsid w:val="00AC2CDA"/>
    <w:rsid w:val="00AC321D"/>
    <w:rsid w:val="00AC3685"/>
    <w:rsid w:val="00AC3A67"/>
    <w:rsid w:val="00AC3C6C"/>
    <w:rsid w:val="00AC3DB7"/>
    <w:rsid w:val="00AC40C8"/>
    <w:rsid w:val="00AC455D"/>
    <w:rsid w:val="00AC4956"/>
    <w:rsid w:val="00AC4B3E"/>
    <w:rsid w:val="00AC526A"/>
    <w:rsid w:val="00AC5365"/>
    <w:rsid w:val="00AC565C"/>
    <w:rsid w:val="00AC591B"/>
    <w:rsid w:val="00AC5CED"/>
    <w:rsid w:val="00AC62C4"/>
    <w:rsid w:val="00AC66D7"/>
    <w:rsid w:val="00AC6B3E"/>
    <w:rsid w:val="00AC70CE"/>
    <w:rsid w:val="00AC747A"/>
    <w:rsid w:val="00AC776D"/>
    <w:rsid w:val="00AC7888"/>
    <w:rsid w:val="00AD01B4"/>
    <w:rsid w:val="00AD0A4E"/>
    <w:rsid w:val="00AD0B95"/>
    <w:rsid w:val="00AD0EE4"/>
    <w:rsid w:val="00AD130A"/>
    <w:rsid w:val="00AD1384"/>
    <w:rsid w:val="00AD141F"/>
    <w:rsid w:val="00AD1786"/>
    <w:rsid w:val="00AD203D"/>
    <w:rsid w:val="00AD26F1"/>
    <w:rsid w:val="00AD2799"/>
    <w:rsid w:val="00AD2A9E"/>
    <w:rsid w:val="00AD2F27"/>
    <w:rsid w:val="00AD3170"/>
    <w:rsid w:val="00AD324D"/>
    <w:rsid w:val="00AD33AE"/>
    <w:rsid w:val="00AD37AA"/>
    <w:rsid w:val="00AD396D"/>
    <w:rsid w:val="00AD3D3B"/>
    <w:rsid w:val="00AD4515"/>
    <w:rsid w:val="00AD45DD"/>
    <w:rsid w:val="00AD4653"/>
    <w:rsid w:val="00AD4A42"/>
    <w:rsid w:val="00AD4C63"/>
    <w:rsid w:val="00AD4E80"/>
    <w:rsid w:val="00AD4EA8"/>
    <w:rsid w:val="00AD5003"/>
    <w:rsid w:val="00AD55BB"/>
    <w:rsid w:val="00AD5A16"/>
    <w:rsid w:val="00AD5C76"/>
    <w:rsid w:val="00AD656C"/>
    <w:rsid w:val="00AD6E12"/>
    <w:rsid w:val="00AD6EA1"/>
    <w:rsid w:val="00AD6EEF"/>
    <w:rsid w:val="00AD7065"/>
    <w:rsid w:val="00AD70B5"/>
    <w:rsid w:val="00AD7979"/>
    <w:rsid w:val="00AD7991"/>
    <w:rsid w:val="00AD7AEB"/>
    <w:rsid w:val="00AE0134"/>
    <w:rsid w:val="00AE026B"/>
    <w:rsid w:val="00AE0D98"/>
    <w:rsid w:val="00AE0E28"/>
    <w:rsid w:val="00AE0E9B"/>
    <w:rsid w:val="00AE1527"/>
    <w:rsid w:val="00AE16D1"/>
    <w:rsid w:val="00AE18FE"/>
    <w:rsid w:val="00AE1A75"/>
    <w:rsid w:val="00AE1CAC"/>
    <w:rsid w:val="00AE1FC0"/>
    <w:rsid w:val="00AE2052"/>
    <w:rsid w:val="00AE262F"/>
    <w:rsid w:val="00AE2D23"/>
    <w:rsid w:val="00AE2FD7"/>
    <w:rsid w:val="00AE333C"/>
    <w:rsid w:val="00AE382E"/>
    <w:rsid w:val="00AE3A8E"/>
    <w:rsid w:val="00AE3CC9"/>
    <w:rsid w:val="00AE4333"/>
    <w:rsid w:val="00AE44C8"/>
    <w:rsid w:val="00AE4878"/>
    <w:rsid w:val="00AE4EEC"/>
    <w:rsid w:val="00AE50C1"/>
    <w:rsid w:val="00AE5270"/>
    <w:rsid w:val="00AE5275"/>
    <w:rsid w:val="00AE5902"/>
    <w:rsid w:val="00AE5A11"/>
    <w:rsid w:val="00AE5A28"/>
    <w:rsid w:val="00AE649D"/>
    <w:rsid w:val="00AE6627"/>
    <w:rsid w:val="00AE6722"/>
    <w:rsid w:val="00AE6838"/>
    <w:rsid w:val="00AE69FD"/>
    <w:rsid w:val="00AE6F73"/>
    <w:rsid w:val="00AE6FB4"/>
    <w:rsid w:val="00AE7557"/>
    <w:rsid w:val="00AF01A0"/>
    <w:rsid w:val="00AF0537"/>
    <w:rsid w:val="00AF054A"/>
    <w:rsid w:val="00AF08BF"/>
    <w:rsid w:val="00AF0BA4"/>
    <w:rsid w:val="00AF1222"/>
    <w:rsid w:val="00AF16AB"/>
    <w:rsid w:val="00AF18AC"/>
    <w:rsid w:val="00AF18CB"/>
    <w:rsid w:val="00AF1C74"/>
    <w:rsid w:val="00AF1D44"/>
    <w:rsid w:val="00AF1E87"/>
    <w:rsid w:val="00AF2132"/>
    <w:rsid w:val="00AF22D9"/>
    <w:rsid w:val="00AF2EE1"/>
    <w:rsid w:val="00AF3026"/>
    <w:rsid w:val="00AF37F7"/>
    <w:rsid w:val="00AF4015"/>
    <w:rsid w:val="00AF4567"/>
    <w:rsid w:val="00AF487C"/>
    <w:rsid w:val="00AF4924"/>
    <w:rsid w:val="00AF512A"/>
    <w:rsid w:val="00AF520A"/>
    <w:rsid w:val="00AF5531"/>
    <w:rsid w:val="00AF579A"/>
    <w:rsid w:val="00AF581F"/>
    <w:rsid w:val="00AF6416"/>
    <w:rsid w:val="00AF6914"/>
    <w:rsid w:val="00AF6EE8"/>
    <w:rsid w:val="00AF7178"/>
    <w:rsid w:val="00AF7ADD"/>
    <w:rsid w:val="00B004EC"/>
    <w:rsid w:val="00B00514"/>
    <w:rsid w:val="00B00553"/>
    <w:rsid w:val="00B0072F"/>
    <w:rsid w:val="00B00FCC"/>
    <w:rsid w:val="00B014F8"/>
    <w:rsid w:val="00B01543"/>
    <w:rsid w:val="00B01576"/>
    <w:rsid w:val="00B016E0"/>
    <w:rsid w:val="00B01ECE"/>
    <w:rsid w:val="00B0254F"/>
    <w:rsid w:val="00B028AC"/>
    <w:rsid w:val="00B02EB7"/>
    <w:rsid w:val="00B038DD"/>
    <w:rsid w:val="00B03BD2"/>
    <w:rsid w:val="00B03C08"/>
    <w:rsid w:val="00B03C51"/>
    <w:rsid w:val="00B04158"/>
    <w:rsid w:val="00B04243"/>
    <w:rsid w:val="00B04569"/>
    <w:rsid w:val="00B046DB"/>
    <w:rsid w:val="00B047C5"/>
    <w:rsid w:val="00B04807"/>
    <w:rsid w:val="00B04A37"/>
    <w:rsid w:val="00B04D2B"/>
    <w:rsid w:val="00B04F3D"/>
    <w:rsid w:val="00B05334"/>
    <w:rsid w:val="00B058F7"/>
    <w:rsid w:val="00B05A52"/>
    <w:rsid w:val="00B05A7A"/>
    <w:rsid w:val="00B05B91"/>
    <w:rsid w:val="00B06580"/>
    <w:rsid w:val="00B06E62"/>
    <w:rsid w:val="00B075FA"/>
    <w:rsid w:val="00B07CD8"/>
    <w:rsid w:val="00B07F1F"/>
    <w:rsid w:val="00B100BB"/>
    <w:rsid w:val="00B101A1"/>
    <w:rsid w:val="00B105EF"/>
    <w:rsid w:val="00B10832"/>
    <w:rsid w:val="00B10F20"/>
    <w:rsid w:val="00B11417"/>
    <w:rsid w:val="00B114F6"/>
    <w:rsid w:val="00B115DA"/>
    <w:rsid w:val="00B11752"/>
    <w:rsid w:val="00B117E0"/>
    <w:rsid w:val="00B119A8"/>
    <w:rsid w:val="00B12667"/>
    <w:rsid w:val="00B129ED"/>
    <w:rsid w:val="00B12A16"/>
    <w:rsid w:val="00B132A2"/>
    <w:rsid w:val="00B137B3"/>
    <w:rsid w:val="00B13AF1"/>
    <w:rsid w:val="00B1428C"/>
    <w:rsid w:val="00B14BF3"/>
    <w:rsid w:val="00B153A9"/>
    <w:rsid w:val="00B15434"/>
    <w:rsid w:val="00B15961"/>
    <w:rsid w:val="00B15A4E"/>
    <w:rsid w:val="00B15A73"/>
    <w:rsid w:val="00B15C17"/>
    <w:rsid w:val="00B15CFC"/>
    <w:rsid w:val="00B16285"/>
    <w:rsid w:val="00B1652C"/>
    <w:rsid w:val="00B165AB"/>
    <w:rsid w:val="00B16CCA"/>
    <w:rsid w:val="00B17405"/>
    <w:rsid w:val="00B17B8D"/>
    <w:rsid w:val="00B20426"/>
    <w:rsid w:val="00B218AB"/>
    <w:rsid w:val="00B21C56"/>
    <w:rsid w:val="00B21D80"/>
    <w:rsid w:val="00B223CE"/>
    <w:rsid w:val="00B22E27"/>
    <w:rsid w:val="00B238E2"/>
    <w:rsid w:val="00B23FEB"/>
    <w:rsid w:val="00B24B53"/>
    <w:rsid w:val="00B24CB4"/>
    <w:rsid w:val="00B24DE1"/>
    <w:rsid w:val="00B24F1F"/>
    <w:rsid w:val="00B25009"/>
    <w:rsid w:val="00B25470"/>
    <w:rsid w:val="00B2554B"/>
    <w:rsid w:val="00B2584A"/>
    <w:rsid w:val="00B26698"/>
    <w:rsid w:val="00B2670E"/>
    <w:rsid w:val="00B26738"/>
    <w:rsid w:val="00B2698B"/>
    <w:rsid w:val="00B271F8"/>
    <w:rsid w:val="00B275C4"/>
    <w:rsid w:val="00B27A98"/>
    <w:rsid w:val="00B27D72"/>
    <w:rsid w:val="00B301EA"/>
    <w:rsid w:val="00B302A3"/>
    <w:rsid w:val="00B307AF"/>
    <w:rsid w:val="00B30B93"/>
    <w:rsid w:val="00B310D4"/>
    <w:rsid w:val="00B310F6"/>
    <w:rsid w:val="00B3169D"/>
    <w:rsid w:val="00B317D0"/>
    <w:rsid w:val="00B3191C"/>
    <w:rsid w:val="00B31E5E"/>
    <w:rsid w:val="00B3200A"/>
    <w:rsid w:val="00B32067"/>
    <w:rsid w:val="00B32553"/>
    <w:rsid w:val="00B329DD"/>
    <w:rsid w:val="00B32BAC"/>
    <w:rsid w:val="00B3365B"/>
    <w:rsid w:val="00B33AC7"/>
    <w:rsid w:val="00B33D92"/>
    <w:rsid w:val="00B33F8F"/>
    <w:rsid w:val="00B33FAB"/>
    <w:rsid w:val="00B345E8"/>
    <w:rsid w:val="00B349B5"/>
    <w:rsid w:val="00B34E10"/>
    <w:rsid w:val="00B35527"/>
    <w:rsid w:val="00B360DC"/>
    <w:rsid w:val="00B361D5"/>
    <w:rsid w:val="00B36C70"/>
    <w:rsid w:val="00B40373"/>
    <w:rsid w:val="00B403F1"/>
    <w:rsid w:val="00B40419"/>
    <w:rsid w:val="00B40795"/>
    <w:rsid w:val="00B408A3"/>
    <w:rsid w:val="00B4097C"/>
    <w:rsid w:val="00B40A3F"/>
    <w:rsid w:val="00B40B62"/>
    <w:rsid w:val="00B40CDD"/>
    <w:rsid w:val="00B40F3B"/>
    <w:rsid w:val="00B410D1"/>
    <w:rsid w:val="00B41165"/>
    <w:rsid w:val="00B411E1"/>
    <w:rsid w:val="00B41212"/>
    <w:rsid w:val="00B41440"/>
    <w:rsid w:val="00B42036"/>
    <w:rsid w:val="00B42195"/>
    <w:rsid w:val="00B4226C"/>
    <w:rsid w:val="00B42278"/>
    <w:rsid w:val="00B4275F"/>
    <w:rsid w:val="00B42878"/>
    <w:rsid w:val="00B428A0"/>
    <w:rsid w:val="00B43030"/>
    <w:rsid w:val="00B432C1"/>
    <w:rsid w:val="00B4332D"/>
    <w:rsid w:val="00B437C6"/>
    <w:rsid w:val="00B438CD"/>
    <w:rsid w:val="00B44090"/>
    <w:rsid w:val="00B4473E"/>
    <w:rsid w:val="00B44E26"/>
    <w:rsid w:val="00B458F5"/>
    <w:rsid w:val="00B45FD6"/>
    <w:rsid w:val="00B460E7"/>
    <w:rsid w:val="00B46332"/>
    <w:rsid w:val="00B46D83"/>
    <w:rsid w:val="00B47341"/>
    <w:rsid w:val="00B478A8"/>
    <w:rsid w:val="00B501C9"/>
    <w:rsid w:val="00B50250"/>
    <w:rsid w:val="00B507E4"/>
    <w:rsid w:val="00B50C9B"/>
    <w:rsid w:val="00B511F5"/>
    <w:rsid w:val="00B516A3"/>
    <w:rsid w:val="00B51BB8"/>
    <w:rsid w:val="00B51C6F"/>
    <w:rsid w:val="00B51E9A"/>
    <w:rsid w:val="00B5212D"/>
    <w:rsid w:val="00B5220A"/>
    <w:rsid w:val="00B5220B"/>
    <w:rsid w:val="00B52980"/>
    <w:rsid w:val="00B52C0D"/>
    <w:rsid w:val="00B52F4E"/>
    <w:rsid w:val="00B53F88"/>
    <w:rsid w:val="00B54065"/>
    <w:rsid w:val="00B541FB"/>
    <w:rsid w:val="00B549CB"/>
    <w:rsid w:val="00B54C1D"/>
    <w:rsid w:val="00B54D4D"/>
    <w:rsid w:val="00B54F9F"/>
    <w:rsid w:val="00B55241"/>
    <w:rsid w:val="00B55C55"/>
    <w:rsid w:val="00B55F3D"/>
    <w:rsid w:val="00B56476"/>
    <w:rsid w:val="00B56DB1"/>
    <w:rsid w:val="00B60232"/>
    <w:rsid w:val="00B6023E"/>
    <w:rsid w:val="00B604E3"/>
    <w:rsid w:val="00B607E4"/>
    <w:rsid w:val="00B60A8D"/>
    <w:rsid w:val="00B60F3C"/>
    <w:rsid w:val="00B6113B"/>
    <w:rsid w:val="00B611A1"/>
    <w:rsid w:val="00B61D4A"/>
    <w:rsid w:val="00B61EE9"/>
    <w:rsid w:val="00B61F2A"/>
    <w:rsid w:val="00B61F45"/>
    <w:rsid w:val="00B62184"/>
    <w:rsid w:val="00B62B24"/>
    <w:rsid w:val="00B62F9D"/>
    <w:rsid w:val="00B6308F"/>
    <w:rsid w:val="00B645CB"/>
    <w:rsid w:val="00B65109"/>
    <w:rsid w:val="00B652A0"/>
    <w:rsid w:val="00B652D4"/>
    <w:rsid w:val="00B65816"/>
    <w:rsid w:val="00B65980"/>
    <w:rsid w:val="00B65C2D"/>
    <w:rsid w:val="00B66364"/>
    <w:rsid w:val="00B6665B"/>
    <w:rsid w:val="00B66FF4"/>
    <w:rsid w:val="00B67345"/>
    <w:rsid w:val="00B700AA"/>
    <w:rsid w:val="00B703E1"/>
    <w:rsid w:val="00B7051B"/>
    <w:rsid w:val="00B7051D"/>
    <w:rsid w:val="00B70673"/>
    <w:rsid w:val="00B709C0"/>
    <w:rsid w:val="00B70A8B"/>
    <w:rsid w:val="00B71416"/>
    <w:rsid w:val="00B717EC"/>
    <w:rsid w:val="00B71A43"/>
    <w:rsid w:val="00B72202"/>
    <w:rsid w:val="00B723AA"/>
    <w:rsid w:val="00B729B1"/>
    <w:rsid w:val="00B72A1D"/>
    <w:rsid w:val="00B735B2"/>
    <w:rsid w:val="00B737B8"/>
    <w:rsid w:val="00B738B6"/>
    <w:rsid w:val="00B739D5"/>
    <w:rsid w:val="00B7431B"/>
    <w:rsid w:val="00B744D4"/>
    <w:rsid w:val="00B74786"/>
    <w:rsid w:val="00B74AB9"/>
    <w:rsid w:val="00B74C21"/>
    <w:rsid w:val="00B75365"/>
    <w:rsid w:val="00B755D5"/>
    <w:rsid w:val="00B75814"/>
    <w:rsid w:val="00B75ED4"/>
    <w:rsid w:val="00B7666E"/>
    <w:rsid w:val="00B76EB9"/>
    <w:rsid w:val="00B7703F"/>
    <w:rsid w:val="00B77503"/>
    <w:rsid w:val="00B77A9B"/>
    <w:rsid w:val="00B77C42"/>
    <w:rsid w:val="00B77DA1"/>
    <w:rsid w:val="00B8008B"/>
    <w:rsid w:val="00B802DA"/>
    <w:rsid w:val="00B80423"/>
    <w:rsid w:val="00B80711"/>
    <w:rsid w:val="00B80ADE"/>
    <w:rsid w:val="00B80EAA"/>
    <w:rsid w:val="00B80EC1"/>
    <w:rsid w:val="00B80F13"/>
    <w:rsid w:val="00B8159D"/>
    <w:rsid w:val="00B81740"/>
    <w:rsid w:val="00B8182B"/>
    <w:rsid w:val="00B81B0F"/>
    <w:rsid w:val="00B81C40"/>
    <w:rsid w:val="00B81F34"/>
    <w:rsid w:val="00B82B8E"/>
    <w:rsid w:val="00B82C42"/>
    <w:rsid w:val="00B82D4D"/>
    <w:rsid w:val="00B82DE0"/>
    <w:rsid w:val="00B82FC4"/>
    <w:rsid w:val="00B83240"/>
    <w:rsid w:val="00B8354D"/>
    <w:rsid w:val="00B8356E"/>
    <w:rsid w:val="00B83744"/>
    <w:rsid w:val="00B83E93"/>
    <w:rsid w:val="00B8468D"/>
    <w:rsid w:val="00B846A8"/>
    <w:rsid w:val="00B852FB"/>
    <w:rsid w:val="00B8555F"/>
    <w:rsid w:val="00B85773"/>
    <w:rsid w:val="00B85837"/>
    <w:rsid w:val="00B85C5B"/>
    <w:rsid w:val="00B86066"/>
    <w:rsid w:val="00B86118"/>
    <w:rsid w:val="00B8622E"/>
    <w:rsid w:val="00B86384"/>
    <w:rsid w:val="00B86452"/>
    <w:rsid w:val="00B86583"/>
    <w:rsid w:val="00B86761"/>
    <w:rsid w:val="00B86C0D"/>
    <w:rsid w:val="00B86DB4"/>
    <w:rsid w:val="00B87587"/>
    <w:rsid w:val="00B87856"/>
    <w:rsid w:val="00B879D8"/>
    <w:rsid w:val="00B879DF"/>
    <w:rsid w:val="00B87A7A"/>
    <w:rsid w:val="00B87BC9"/>
    <w:rsid w:val="00B90812"/>
    <w:rsid w:val="00B909FE"/>
    <w:rsid w:val="00B91555"/>
    <w:rsid w:val="00B929AE"/>
    <w:rsid w:val="00B92AFC"/>
    <w:rsid w:val="00B92B3C"/>
    <w:rsid w:val="00B941A6"/>
    <w:rsid w:val="00B945F1"/>
    <w:rsid w:val="00B9485E"/>
    <w:rsid w:val="00B94DB7"/>
    <w:rsid w:val="00B955D4"/>
    <w:rsid w:val="00B95ECC"/>
    <w:rsid w:val="00B964D2"/>
    <w:rsid w:val="00B9660A"/>
    <w:rsid w:val="00B976A4"/>
    <w:rsid w:val="00BA047B"/>
    <w:rsid w:val="00BA0729"/>
    <w:rsid w:val="00BA0795"/>
    <w:rsid w:val="00BA0887"/>
    <w:rsid w:val="00BA0B1D"/>
    <w:rsid w:val="00BA0B32"/>
    <w:rsid w:val="00BA0CB5"/>
    <w:rsid w:val="00BA0E90"/>
    <w:rsid w:val="00BA1074"/>
    <w:rsid w:val="00BA15A7"/>
    <w:rsid w:val="00BA15BA"/>
    <w:rsid w:val="00BA172F"/>
    <w:rsid w:val="00BA195D"/>
    <w:rsid w:val="00BA1B24"/>
    <w:rsid w:val="00BA1E1A"/>
    <w:rsid w:val="00BA1E61"/>
    <w:rsid w:val="00BA20D1"/>
    <w:rsid w:val="00BA2408"/>
    <w:rsid w:val="00BA2669"/>
    <w:rsid w:val="00BA2861"/>
    <w:rsid w:val="00BA2C7F"/>
    <w:rsid w:val="00BA364D"/>
    <w:rsid w:val="00BA3AEA"/>
    <w:rsid w:val="00BA3B69"/>
    <w:rsid w:val="00BA3D97"/>
    <w:rsid w:val="00BA40DC"/>
    <w:rsid w:val="00BA4569"/>
    <w:rsid w:val="00BA4E5F"/>
    <w:rsid w:val="00BA52F0"/>
    <w:rsid w:val="00BA5527"/>
    <w:rsid w:val="00BA5580"/>
    <w:rsid w:val="00BA5B1A"/>
    <w:rsid w:val="00BA5DB4"/>
    <w:rsid w:val="00BA5EB3"/>
    <w:rsid w:val="00BA6469"/>
    <w:rsid w:val="00BA6641"/>
    <w:rsid w:val="00BA674A"/>
    <w:rsid w:val="00BA68D3"/>
    <w:rsid w:val="00BA6AA8"/>
    <w:rsid w:val="00BA6D5A"/>
    <w:rsid w:val="00BA6EF7"/>
    <w:rsid w:val="00BA6FD4"/>
    <w:rsid w:val="00BA73F2"/>
    <w:rsid w:val="00BA74DB"/>
    <w:rsid w:val="00BA772E"/>
    <w:rsid w:val="00BA79AB"/>
    <w:rsid w:val="00BA7C43"/>
    <w:rsid w:val="00BA7DCC"/>
    <w:rsid w:val="00BA7E7B"/>
    <w:rsid w:val="00BA7F4A"/>
    <w:rsid w:val="00BB0133"/>
    <w:rsid w:val="00BB0170"/>
    <w:rsid w:val="00BB0192"/>
    <w:rsid w:val="00BB0AD0"/>
    <w:rsid w:val="00BB12C4"/>
    <w:rsid w:val="00BB1ED2"/>
    <w:rsid w:val="00BB2471"/>
    <w:rsid w:val="00BB25A2"/>
    <w:rsid w:val="00BB2C4F"/>
    <w:rsid w:val="00BB2EE3"/>
    <w:rsid w:val="00BB34C4"/>
    <w:rsid w:val="00BB4071"/>
    <w:rsid w:val="00BB4175"/>
    <w:rsid w:val="00BB4553"/>
    <w:rsid w:val="00BB4662"/>
    <w:rsid w:val="00BB4CD2"/>
    <w:rsid w:val="00BB5511"/>
    <w:rsid w:val="00BB59C2"/>
    <w:rsid w:val="00BB59E1"/>
    <w:rsid w:val="00BB5A46"/>
    <w:rsid w:val="00BB5C1A"/>
    <w:rsid w:val="00BB6B76"/>
    <w:rsid w:val="00BB7330"/>
    <w:rsid w:val="00BB7969"/>
    <w:rsid w:val="00BC04A2"/>
    <w:rsid w:val="00BC06AA"/>
    <w:rsid w:val="00BC077E"/>
    <w:rsid w:val="00BC0B3A"/>
    <w:rsid w:val="00BC102C"/>
    <w:rsid w:val="00BC1890"/>
    <w:rsid w:val="00BC1A07"/>
    <w:rsid w:val="00BC2304"/>
    <w:rsid w:val="00BC2677"/>
    <w:rsid w:val="00BC29A6"/>
    <w:rsid w:val="00BC39E2"/>
    <w:rsid w:val="00BC3C9A"/>
    <w:rsid w:val="00BC3D05"/>
    <w:rsid w:val="00BC3DF2"/>
    <w:rsid w:val="00BC3E01"/>
    <w:rsid w:val="00BC4B5F"/>
    <w:rsid w:val="00BC4C70"/>
    <w:rsid w:val="00BC4D9F"/>
    <w:rsid w:val="00BC4E80"/>
    <w:rsid w:val="00BC52DB"/>
    <w:rsid w:val="00BC534D"/>
    <w:rsid w:val="00BC5415"/>
    <w:rsid w:val="00BC5CF5"/>
    <w:rsid w:val="00BC5F8A"/>
    <w:rsid w:val="00BC6017"/>
    <w:rsid w:val="00BC6813"/>
    <w:rsid w:val="00BC6947"/>
    <w:rsid w:val="00BC6DD5"/>
    <w:rsid w:val="00BC7003"/>
    <w:rsid w:val="00BC725F"/>
    <w:rsid w:val="00BC7839"/>
    <w:rsid w:val="00BC7DB1"/>
    <w:rsid w:val="00BD03EA"/>
    <w:rsid w:val="00BD066E"/>
    <w:rsid w:val="00BD0A9B"/>
    <w:rsid w:val="00BD1253"/>
    <w:rsid w:val="00BD1E70"/>
    <w:rsid w:val="00BD1EE5"/>
    <w:rsid w:val="00BD1FC2"/>
    <w:rsid w:val="00BD21D3"/>
    <w:rsid w:val="00BD258F"/>
    <w:rsid w:val="00BD25C4"/>
    <w:rsid w:val="00BD2C65"/>
    <w:rsid w:val="00BD2CD7"/>
    <w:rsid w:val="00BD35C9"/>
    <w:rsid w:val="00BD36A8"/>
    <w:rsid w:val="00BD3B4A"/>
    <w:rsid w:val="00BD3BB7"/>
    <w:rsid w:val="00BD3D37"/>
    <w:rsid w:val="00BD3D90"/>
    <w:rsid w:val="00BD3E3D"/>
    <w:rsid w:val="00BD411D"/>
    <w:rsid w:val="00BD4236"/>
    <w:rsid w:val="00BD4377"/>
    <w:rsid w:val="00BD484A"/>
    <w:rsid w:val="00BD489E"/>
    <w:rsid w:val="00BD4BCA"/>
    <w:rsid w:val="00BD52C2"/>
    <w:rsid w:val="00BD5332"/>
    <w:rsid w:val="00BD54BB"/>
    <w:rsid w:val="00BD54D8"/>
    <w:rsid w:val="00BD597F"/>
    <w:rsid w:val="00BD5C98"/>
    <w:rsid w:val="00BD628D"/>
    <w:rsid w:val="00BD62A4"/>
    <w:rsid w:val="00BD643B"/>
    <w:rsid w:val="00BD67F3"/>
    <w:rsid w:val="00BD6881"/>
    <w:rsid w:val="00BD68D2"/>
    <w:rsid w:val="00BD77F5"/>
    <w:rsid w:val="00BD7CF4"/>
    <w:rsid w:val="00BD7D8B"/>
    <w:rsid w:val="00BE019C"/>
    <w:rsid w:val="00BE0607"/>
    <w:rsid w:val="00BE0DDD"/>
    <w:rsid w:val="00BE0ED8"/>
    <w:rsid w:val="00BE15CB"/>
    <w:rsid w:val="00BE18B3"/>
    <w:rsid w:val="00BE1986"/>
    <w:rsid w:val="00BE2311"/>
    <w:rsid w:val="00BE29DD"/>
    <w:rsid w:val="00BE2EA1"/>
    <w:rsid w:val="00BE3120"/>
    <w:rsid w:val="00BE32A5"/>
    <w:rsid w:val="00BE365B"/>
    <w:rsid w:val="00BE3D6D"/>
    <w:rsid w:val="00BE3E5C"/>
    <w:rsid w:val="00BE3F90"/>
    <w:rsid w:val="00BE449A"/>
    <w:rsid w:val="00BE488B"/>
    <w:rsid w:val="00BE48F0"/>
    <w:rsid w:val="00BE4B28"/>
    <w:rsid w:val="00BE4D0E"/>
    <w:rsid w:val="00BE4F0A"/>
    <w:rsid w:val="00BE519E"/>
    <w:rsid w:val="00BE52FD"/>
    <w:rsid w:val="00BE531C"/>
    <w:rsid w:val="00BE5A7B"/>
    <w:rsid w:val="00BE5AB3"/>
    <w:rsid w:val="00BE5AF5"/>
    <w:rsid w:val="00BE6AA6"/>
    <w:rsid w:val="00BE6FDE"/>
    <w:rsid w:val="00BF0003"/>
    <w:rsid w:val="00BF0666"/>
    <w:rsid w:val="00BF0A26"/>
    <w:rsid w:val="00BF0AFB"/>
    <w:rsid w:val="00BF1800"/>
    <w:rsid w:val="00BF2074"/>
    <w:rsid w:val="00BF22ED"/>
    <w:rsid w:val="00BF31AF"/>
    <w:rsid w:val="00BF3334"/>
    <w:rsid w:val="00BF36B8"/>
    <w:rsid w:val="00BF3BBC"/>
    <w:rsid w:val="00BF3D9E"/>
    <w:rsid w:val="00BF3F5F"/>
    <w:rsid w:val="00BF3F72"/>
    <w:rsid w:val="00BF44B8"/>
    <w:rsid w:val="00BF49AB"/>
    <w:rsid w:val="00BF4AB0"/>
    <w:rsid w:val="00BF4B90"/>
    <w:rsid w:val="00BF53B4"/>
    <w:rsid w:val="00BF542D"/>
    <w:rsid w:val="00BF55F7"/>
    <w:rsid w:val="00BF5996"/>
    <w:rsid w:val="00BF5AD3"/>
    <w:rsid w:val="00BF5AD6"/>
    <w:rsid w:val="00BF5F5E"/>
    <w:rsid w:val="00BF617D"/>
    <w:rsid w:val="00BF63D1"/>
    <w:rsid w:val="00BF646D"/>
    <w:rsid w:val="00BF65AB"/>
    <w:rsid w:val="00BF6774"/>
    <w:rsid w:val="00BF6962"/>
    <w:rsid w:val="00BF6B8A"/>
    <w:rsid w:val="00BF6C58"/>
    <w:rsid w:val="00BF6C83"/>
    <w:rsid w:val="00BF72CE"/>
    <w:rsid w:val="00BF74F8"/>
    <w:rsid w:val="00BF77E4"/>
    <w:rsid w:val="00C008C9"/>
    <w:rsid w:val="00C00909"/>
    <w:rsid w:val="00C00B87"/>
    <w:rsid w:val="00C00C30"/>
    <w:rsid w:val="00C00CF9"/>
    <w:rsid w:val="00C01152"/>
    <w:rsid w:val="00C0211C"/>
    <w:rsid w:val="00C02A3A"/>
    <w:rsid w:val="00C02A85"/>
    <w:rsid w:val="00C02EAE"/>
    <w:rsid w:val="00C03376"/>
    <w:rsid w:val="00C035B8"/>
    <w:rsid w:val="00C03B2E"/>
    <w:rsid w:val="00C03EBC"/>
    <w:rsid w:val="00C042D0"/>
    <w:rsid w:val="00C044C9"/>
    <w:rsid w:val="00C053EA"/>
    <w:rsid w:val="00C05730"/>
    <w:rsid w:val="00C058AC"/>
    <w:rsid w:val="00C06529"/>
    <w:rsid w:val="00C07130"/>
    <w:rsid w:val="00C07318"/>
    <w:rsid w:val="00C0742A"/>
    <w:rsid w:val="00C0754D"/>
    <w:rsid w:val="00C07623"/>
    <w:rsid w:val="00C0763D"/>
    <w:rsid w:val="00C07685"/>
    <w:rsid w:val="00C07713"/>
    <w:rsid w:val="00C0775B"/>
    <w:rsid w:val="00C07C02"/>
    <w:rsid w:val="00C10185"/>
    <w:rsid w:val="00C107EE"/>
    <w:rsid w:val="00C10861"/>
    <w:rsid w:val="00C10C36"/>
    <w:rsid w:val="00C10C9F"/>
    <w:rsid w:val="00C10F31"/>
    <w:rsid w:val="00C11699"/>
    <w:rsid w:val="00C11B86"/>
    <w:rsid w:val="00C11B9A"/>
    <w:rsid w:val="00C12339"/>
    <w:rsid w:val="00C125FF"/>
    <w:rsid w:val="00C128BB"/>
    <w:rsid w:val="00C13009"/>
    <w:rsid w:val="00C1309B"/>
    <w:rsid w:val="00C1319F"/>
    <w:rsid w:val="00C131AD"/>
    <w:rsid w:val="00C13324"/>
    <w:rsid w:val="00C13C1F"/>
    <w:rsid w:val="00C13D93"/>
    <w:rsid w:val="00C13FC8"/>
    <w:rsid w:val="00C140B9"/>
    <w:rsid w:val="00C140E9"/>
    <w:rsid w:val="00C142F9"/>
    <w:rsid w:val="00C1477A"/>
    <w:rsid w:val="00C14800"/>
    <w:rsid w:val="00C151A0"/>
    <w:rsid w:val="00C15591"/>
    <w:rsid w:val="00C156B9"/>
    <w:rsid w:val="00C15A69"/>
    <w:rsid w:val="00C15BCE"/>
    <w:rsid w:val="00C15CC9"/>
    <w:rsid w:val="00C15D2B"/>
    <w:rsid w:val="00C163CE"/>
    <w:rsid w:val="00C1650D"/>
    <w:rsid w:val="00C1685E"/>
    <w:rsid w:val="00C16AD1"/>
    <w:rsid w:val="00C16CE1"/>
    <w:rsid w:val="00C16DC3"/>
    <w:rsid w:val="00C171C6"/>
    <w:rsid w:val="00C1728E"/>
    <w:rsid w:val="00C200C9"/>
    <w:rsid w:val="00C202D9"/>
    <w:rsid w:val="00C208B5"/>
    <w:rsid w:val="00C20A75"/>
    <w:rsid w:val="00C213C7"/>
    <w:rsid w:val="00C2151A"/>
    <w:rsid w:val="00C21987"/>
    <w:rsid w:val="00C22899"/>
    <w:rsid w:val="00C22AF1"/>
    <w:rsid w:val="00C22D02"/>
    <w:rsid w:val="00C23291"/>
    <w:rsid w:val="00C2331E"/>
    <w:rsid w:val="00C237CF"/>
    <w:rsid w:val="00C23F72"/>
    <w:rsid w:val="00C24C10"/>
    <w:rsid w:val="00C24C12"/>
    <w:rsid w:val="00C24D8E"/>
    <w:rsid w:val="00C24E5B"/>
    <w:rsid w:val="00C250A9"/>
    <w:rsid w:val="00C25484"/>
    <w:rsid w:val="00C2556A"/>
    <w:rsid w:val="00C25F66"/>
    <w:rsid w:val="00C26144"/>
    <w:rsid w:val="00C269A6"/>
    <w:rsid w:val="00C27402"/>
    <w:rsid w:val="00C278A9"/>
    <w:rsid w:val="00C27BE4"/>
    <w:rsid w:val="00C27F65"/>
    <w:rsid w:val="00C30099"/>
    <w:rsid w:val="00C30ABE"/>
    <w:rsid w:val="00C30B4D"/>
    <w:rsid w:val="00C30D10"/>
    <w:rsid w:val="00C315D7"/>
    <w:rsid w:val="00C31EBD"/>
    <w:rsid w:val="00C3216C"/>
    <w:rsid w:val="00C3233A"/>
    <w:rsid w:val="00C323E5"/>
    <w:rsid w:val="00C32639"/>
    <w:rsid w:val="00C32894"/>
    <w:rsid w:val="00C328E5"/>
    <w:rsid w:val="00C32A53"/>
    <w:rsid w:val="00C32CE5"/>
    <w:rsid w:val="00C32F45"/>
    <w:rsid w:val="00C3302C"/>
    <w:rsid w:val="00C3331C"/>
    <w:rsid w:val="00C339FD"/>
    <w:rsid w:val="00C33A16"/>
    <w:rsid w:val="00C34125"/>
    <w:rsid w:val="00C3449B"/>
    <w:rsid w:val="00C34A92"/>
    <w:rsid w:val="00C34F75"/>
    <w:rsid w:val="00C350B9"/>
    <w:rsid w:val="00C358A8"/>
    <w:rsid w:val="00C35931"/>
    <w:rsid w:val="00C35E0C"/>
    <w:rsid w:val="00C360F2"/>
    <w:rsid w:val="00C361AF"/>
    <w:rsid w:val="00C363B1"/>
    <w:rsid w:val="00C36505"/>
    <w:rsid w:val="00C3692E"/>
    <w:rsid w:val="00C369C2"/>
    <w:rsid w:val="00C37208"/>
    <w:rsid w:val="00C377E7"/>
    <w:rsid w:val="00C377F2"/>
    <w:rsid w:val="00C37866"/>
    <w:rsid w:val="00C3786A"/>
    <w:rsid w:val="00C4024F"/>
    <w:rsid w:val="00C40B6F"/>
    <w:rsid w:val="00C410BC"/>
    <w:rsid w:val="00C4123E"/>
    <w:rsid w:val="00C412BA"/>
    <w:rsid w:val="00C41A33"/>
    <w:rsid w:val="00C41C06"/>
    <w:rsid w:val="00C41D74"/>
    <w:rsid w:val="00C42705"/>
    <w:rsid w:val="00C42A0A"/>
    <w:rsid w:val="00C42AE7"/>
    <w:rsid w:val="00C43501"/>
    <w:rsid w:val="00C43530"/>
    <w:rsid w:val="00C4367F"/>
    <w:rsid w:val="00C43F34"/>
    <w:rsid w:val="00C4465E"/>
    <w:rsid w:val="00C44857"/>
    <w:rsid w:val="00C44B27"/>
    <w:rsid w:val="00C44DBE"/>
    <w:rsid w:val="00C4504A"/>
    <w:rsid w:val="00C45C3E"/>
    <w:rsid w:val="00C46236"/>
    <w:rsid w:val="00C463DC"/>
    <w:rsid w:val="00C47076"/>
    <w:rsid w:val="00C4739B"/>
    <w:rsid w:val="00C4766A"/>
    <w:rsid w:val="00C47A2B"/>
    <w:rsid w:val="00C47DEF"/>
    <w:rsid w:val="00C5066D"/>
    <w:rsid w:val="00C506ED"/>
    <w:rsid w:val="00C50757"/>
    <w:rsid w:val="00C5092E"/>
    <w:rsid w:val="00C509A4"/>
    <w:rsid w:val="00C50D43"/>
    <w:rsid w:val="00C50E9F"/>
    <w:rsid w:val="00C5129E"/>
    <w:rsid w:val="00C513E0"/>
    <w:rsid w:val="00C516AA"/>
    <w:rsid w:val="00C51992"/>
    <w:rsid w:val="00C51BE6"/>
    <w:rsid w:val="00C51DC9"/>
    <w:rsid w:val="00C5224D"/>
    <w:rsid w:val="00C529A7"/>
    <w:rsid w:val="00C52E2B"/>
    <w:rsid w:val="00C52EDF"/>
    <w:rsid w:val="00C54310"/>
    <w:rsid w:val="00C54C97"/>
    <w:rsid w:val="00C54E02"/>
    <w:rsid w:val="00C5506F"/>
    <w:rsid w:val="00C550B2"/>
    <w:rsid w:val="00C55A03"/>
    <w:rsid w:val="00C55DF7"/>
    <w:rsid w:val="00C55E03"/>
    <w:rsid w:val="00C561A7"/>
    <w:rsid w:val="00C56333"/>
    <w:rsid w:val="00C56894"/>
    <w:rsid w:val="00C56ADB"/>
    <w:rsid w:val="00C56CD7"/>
    <w:rsid w:val="00C56D40"/>
    <w:rsid w:val="00C56E10"/>
    <w:rsid w:val="00C575E3"/>
    <w:rsid w:val="00C57AAB"/>
    <w:rsid w:val="00C57ADF"/>
    <w:rsid w:val="00C57BC3"/>
    <w:rsid w:val="00C57D91"/>
    <w:rsid w:val="00C57E0B"/>
    <w:rsid w:val="00C607F7"/>
    <w:rsid w:val="00C60832"/>
    <w:rsid w:val="00C6108C"/>
    <w:rsid w:val="00C61CA1"/>
    <w:rsid w:val="00C62A49"/>
    <w:rsid w:val="00C62B3D"/>
    <w:rsid w:val="00C62DA6"/>
    <w:rsid w:val="00C62F6B"/>
    <w:rsid w:val="00C6337D"/>
    <w:rsid w:val="00C63757"/>
    <w:rsid w:val="00C63A81"/>
    <w:rsid w:val="00C63E93"/>
    <w:rsid w:val="00C63F29"/>
    <w:rsid w:val="00C64070"/>
    <w:rsid w:val="00C64301"/>
    <w:rsid w:val="00C64BDD"/>
    <w:rsid w:val="00C64C18"/>
    <w:rsid w:val="00C64C78"/>
    <w:rsid w:val="00C66102"/>
    <w:rsid w:val="00C66DDD"/>
    <w:rsid w:val="00C66F88"/>
    <w:rsid w:val="00C670F9"/>
    <w:rsid w:val="00C67704"/>
    <w:rsid w:val="00C67905"/>
    <w:rsid w:val="00C67ECF"/>
    <w:rsid w:val="00C70E3D"/>
    <w:rsid w:val="00C70F97"/>
    <w:rsid w:val="00C710CA"/>
    <w:rsid w:val="00C7141F"/>
    <w:rsid w:val="00C7144C"/>
    <w:rsid w:val="00C7161A"/>
    <w:rsid w:val="00C716C7"/>
    <w:rsid w:val="00C71E68"/>
    <w:rsid w:val="00C72186"/>
    <w:rsid w:val="00C724A6"/>
    <w:rsid w:val="00C7261F"/>
    <w:rsid w:val="00C72881"/>
    <w:rsid w:val="00C728E3"/>
    <w:rsid w:val="00C72C8E"/>
    <w:rsid w:val="00C73CDE"/>
    <w:rsid w:val="00C73F42"/>
    <w:rsid w:val="00C7434D"/>
    <w:rsid w:val="00C744B9"/>
    <w:rsid w:val="00C74697"/>
    <w:rsid w:val="00C74775"/>
    <w:rsid w:val="00C74AAB"/>
    <w:rsid w:val="00C75132"/>
    <w:rsid w:val="00C75370"/>
    <w:rsid w:val="00C754A6"/>
    <w:rsid w:val="00C754D0"/>
    <w:rsid w:val="00C759BE"/>
    <w:rsid w:val="00C75A2A"/>
    <w:rsid w:val="00C75A81"/>
    <w:rsid w:val="00C75B75"/>
    <w:rsid w:val="00C75F42"/>
    <w:rsid w:val="00C76102"/>
    <w:rsid w:val="00C7644D"/>
    <w:rsid w:val="00C769A4"/>
    <w:rsid w:val="00C76CE1"/>
    <w:rsid w:val="00C7735F"/>
    <w:rsid w:val="00C778FB"/>
    <w:rsid w:val="00C801BF"/>
    <w:rsid w:val="00C80473"/>
    <w:rsid w:val="00C80791"/>
    <w:rsid w:val="00C8089C"/>
    <w:rsid w:val="00C808F7"/>
    <w:rsid w:val="00C8097E"/>
    <w:rsid w:val="00C80ACD"/>
    <w:rsid w:val="00C810B8"/>
    <w:rsid w:val="00C812C3"/>
    <w:rsid w:val="00C818C2"/>
    <w:rsid w:val="00C8191F"/>
    <w:rsid w:val="00C81947"/>
    <w:rsid w:val="00C81F22"/>
    <w:rsid w:val="00C826A8"/>
    <w:rsid w:val="00C827B2"/>
    <w:rsid w:val="00C82E25"/>
    <w:rsid w:val="00C831AA"/>
    <w:rsid w:val="00C8399D"/>
    <w:rsid w:val="00C84162"/>
    <w:rsid w:val="00C84FE1"/>
    <w:rsid w:val="00C8523B"/>
    <w:rsid w:val="00C8549E"/>
    <w:rsid w:val="00C85E6A"/>
    <w:rsid w:val="00C8602D"/>
    <w:rsid w:val="00C8613B"/>
    <w:rsid w:val="00C866A0"/>
    <w:rsid w:val="00C86A67"/>
    <w:rsid w:val="00C86EF5"/>
    <w:rsid w:val="00C87118"/>
    <w:rsid w:val="00C87206"/>
    <w:rsid w:val="00C87532"/>
    <w:rsid w:val="00C876C6"/>
    <w:rsid w:val="00C87DFE"/>
    <w:rsid w:val="00C90525"/>
    <w:rsid w:val="00C9098D"/>
    <w:rsid w:val="00C90A80"/>
    <w:rsid w:val="00C90D56"/>
    <w:rsid w:val="00C91081"/>
    <w:rsid w:val="00C910C1"/>
    <w:rsid w:val="00C91145"/>
    <w:rsid w:val="00C91E9B"/>
    <w:rsid w:val="00C92225"/>
    <w:rsid w:val="00C9252C"/>
    <w:rsid w:val="00C930ED"/>
    <w:rsid w:val="00C931E4"/>
    <w:rsid w:val="00C93313"/>
    <w:rsid w:val="00C93CA8"/>
    <w:rsid w:val="00C94150"/>
    <w:rsid w:val="00C941C9"/>
    <w:rsid w:val="00C94551"/>
    <w:rsid w:val="00C94AC7"/>
    <w:rsid w:val="00C94AE1"/>
    <w:rsid w:val="00C94BF0"/>
    <w:rsid w:val="00C95496"/>
    <w:rsid w:val="00C9551E"/>
    <w:rsid w:val="00C95B92"/>
    <w:rsid w:val="00C95D6E"/>
    <w:rsid w:val="00C97045"/>
    <w:rsid w:val="00C97267"/>
    <w:rsid w:val="00C97BC0"/>
    <w:rsid w:val="00C97D93"/>
    <w:rsid w:val="00CA02ED"/>
    <w:rsid w:val="00CA05BA"/>
    <w:rsid w:val="00CA08A6"/>
    <w:rsid w:val="00CA0BA5"/>
    <w:rsid w:val="00CA1A8F"/>
    <w:rsid w:val="00CA1C79"/>
    <w:rsid w:val="00CA1DBF"/>
    <w:rsid w:val="00CA1F1A"/>
    <w:rsid w:val="00CA22FF"/>
    <w:rsid w:val="00CA2304"/>
    <w:rsid w:val="00CA23DF"/>
    <w:rsid w:val="00CA24C5"/>
    <w:rsid w:val="00CA27F7"/>
    <w:rsid w:val="00CA2BFB"/>
    <w:rsid w:val="00CA2C5C"/>
    <w:rsid w:val="00CA33FF"/>
    <w:rsid w:val="00CA38C2"/>
    <w:rsid w:val="00CA44E9"/>
    <w:rsid w:val="00CA4564"/>
    <w:rsid w:val="00CA49F7"/>
    <w:rsid w:val="00CA5110"/>
    <w:rsid w:val="00CA52BF"/>
    <w:rsid w:val="00CA5412"/>
    <w:rsid w:val="00CA59C8"/>
    <w:rsid w:val="00CA5C9F"/>
    <w:rsid w:val="00CA5D22"/>
    <w:rsid w:val="00CA671D"/>
    <w:rsid w:val="00CA6FDC"/>
    <w:rsid w:val="00CA71E0"/>
    <w:rsid w:val="00CA7333"/>
    <w:rsid w:val="00CA74CB"/>
    <w:rsid w:val="00CA7556"/>
    <w:rsid w:val="00CA7C7D"/>
    <w:rsid w:val="00CB0028"/>
    <w:rsid w:val="00CB0089"/>
    <w:rsid w:val="00CB0421"/>
    <w:rsid w:val="00CB05A4"/>
    <w:rsid w:val="00CB0D0A"/>
    <w:rsid w:val="00CB0F03"/>
    <w:rsid w:val="00CB102A"/>
    <w:rsid w:val="00CB159A"/>
    <w:rsid w:val="00CB1B74"/>
    <w:rsid w:val="00CB34E0"/>
    <w:rsid w:val="00CB45BE"/>
    <w:rsid w:val="00CB4663"/>
    <w:rsid w:val="00CB497C"/>
    <w:rsid w:val="00CB4D99"/>
    <w:rsid w:val="00CB4EFB"/>
    <w:rsid w:val="00CB4F51"/>
    <w:rsid w:val="00CB507E"/>
    <w:rsid w:val="00CB53B7"/>
    <w:rsid w:val="00CB53E4"/>
    <w:rsid w:val="00CB5A33"/>
    <w:rsid w:val="00CB5D0A"/>
    <w:rsid w:val="00CB6361"/>
    <w:rsid w:val="00CB66D1"/>
    <w:rsid w:val="00CB6BC2"/>
    <w:rsid w:val="00CB6CF2"/>
    <w:rsid w:val="00CB6DE7"/>
    <w:rsid w:val="00CB6EAC"/>
    <w:rsid w:val="00CB6F4E"/>
    <w:rsid w:val="00CB728A"/>
    <w:rsid w:val="00CB7303"/>
    <w:rsid w:val="00CB7879"/>
    <w:rsid w:val="00CB7ECE"/>
    <w:rsid w:val="00CB7F6D"/>
    <w:rsid w:val="00CC04C0"/>
    <w:rsid w:val="00CC0AB8"/>
    <w:rsid w:val="00CC10F5"/>
    <w:rsid w:val="00CC11AD"/>
    <w:rsid w:val="00CC12AD"/>
    <w:rsid w:val="00CC1707"/>
    <w:rsid w:val="00CC232B"/>
    <w:rsid w:val="00CC26BB"/>
    <w:rsid w:val="00CC2C33"/>
    <w:rsid w:val="00CC2E7F"/>
    <w:rsid w:val="00CC2FC8"/>
    <w:rsid w:val="00CC3137"/>
    <w:rsid w:val="00CC3223"/>
    <w:rsid w:val="00CC3481"/>
    <w:rsid w:val="00CC3B2C"/>
    <w:rsid w:val="00CC3D1E"/>
    <w:rsid w:val="00CC41B2"/>
    <w:rsid w:val="00CC4402"/>
    <w:rsid w:val="00CC4995"/>
    <w:rsid w:val="00CC4DA6"/>
    <w:rsid w:val="00CC5184"/>
    <w:rsid w:val="00CC54BB"/>
    <w:rsid w:val="00CC57D3"/>
    <w:rsid w:val="00CC5C0B"/>
    <w:rsid w:val="00CC5DF4"/>
    <w:rsid w:val="00CC5FA2"/>
    <w:rsid w:val="00CC60A8"/>
    <w:rsid w:val="00CC6430"/>
    <w:rsid w:val="00CC6B1C"/>
    <w:rsid w:val="00CC6B70"/>
    <w:rsid w:val="00CC6C3F"/>
    <w:rsid w:val="00CC6CC0"/>
    <w:rsid w:val="00CC7338"/>
    <w:rsid w:val="00CC779F"/>
    <w:rsid w:val="00CC7AA1"/>
    <w:rsid w:val="00CC7EEC"/>
    <w:rsid w:val="00CD00EF"/>
    <w:rsid w:val="00CD06F7"/>
    <w:rsid w:val="00CD078D"/>
    <w:rsid w:val="00CD0A25"/>
    <w:rsid w:val="00CD1371"/>
    <w:rsid w:val="00CD1C41"/>
    <w:rsid w:val="00CD2253"/>
    <w:rsid w:val="00CD2376"/>
    <w:rsid w:val="00CD23EE"/>
    <w:rsid w:val="00CD244D"/>
    <w:rsid w:val="00CD2515"/>
    <w:rsid w:val="00CD2CCB"/>
    <w:rsid w:val="00CD2D50"/>
    <w:rsid w:val="00CD3692"/>
    <w:rsid w:val="00CD39D2"/>
    <w:rsid w:val="00CD39F6"/>
    <w:rsid w:val="00CD3B12"/>
    <w:rsid w:val="00CD3D68"/>
    <w:rsid w:val="00CD401D"/>
    <w:rsid w:val="00CD40DA"/>
    <w:rsid w:val="00CD4207"/>
    <w:rsid w:val="00CD474A"/>
    <w:rsid w:val="00CD515D"/>
    <w:rsid w:val="00CD5405"/>
    <w:rsid w:val="00CD59A9"/>
    <w:rsid w:val="00CD61FF"/>
    <w:rsid w:val="00CD67E5"/>
    <w:rsid w:val="00CD682A"/>
    <w:rsid w:val="00CD6A8C"/>
    <w:rsid w:val="00CD6B04"/>
    <w:rsid w:val="00CD6EDD"/>
    <w:rsid w:val="00CD6FAB"/>
    <w:rsid w:val="00CD78E8"/>
    <w:rsid w:val="00CD7998"/>
    <w:rsid w:val="00CD79F1"/>
    <w:rsid w:val="00CD7EEF"/>
    <w:rsid w:val="00CD7FB6"/>
    <w:rsid w:val="00CE0D02"/>
    <w:rsid w:val="00CE11DA"/>
    <w:rsid w:val="00CE11E4"/>
    <w:rsid w:val="00CE1A11"/>
    <w:rsid w:val="00CE1A1F"/>
    <w:rsid w:val="00CE1CD5"/>
    <w:rsid w:val="00CE1EA6"/>
    <w:rsid w:val="00CE2554"/>
    <w:rsid w:val="00CE27D0"/>
    <w:rsid w:val="00CE2860"/>
    <w:rsid w:val="00CE37E1"/>
    <w:rsid w:val="00CE3909"/>
    <w:rsid w:val="00CE47D0"/>
    <w:rsid w:val="00CE4887"/>
    <w:rsid w:val="00CE576C"/>
    <w:rsid w:val="00CE5C22"/>
    <w:rsid w:val="00CE66E2"/>
    <w:rsid w:val="00CE6E9A"/>
    <w:rsid w:val="00CE6F38"/>
    <w:rsid w:val="00CE75FF"/>
    <w:rsid w:val="00CE7627"/>
    <w:rsid w:val="00CE7B85"/>
    <w:rsid w:val="00CF098C"/>
    <w:rsid w:val="00CF1790"/>
    <w:rsid w:val="00CF24AB"/>
    <w:rsid w:val="00CF29EE"/>
    <w:rsid w:val="00CF332A"/>
    <w:rsid w:val="00CF34CB"/>
    <w:rsid w:val="00CF34F4"/>
    <w:rsid w:val="00CF3578"/>
    <w:rsid w:val="00CF378C"/>
    <w:rsid w:val="00CF3E33"/>
    <w:rsid w:val="00CF4B68"/>
    <w:rsid w:val="00CF4F2B"/>
    <w:rsid w:val="00CF516C"/>
    <w:rsid w:val="00CF53F1"/>
    <w:rsid w:val="00CF548C"/>
    <w:rsid w:val="00CF5526"/>
    <w:rsid w:val="00CF5B73"/>
    <w:rsid w:val="00CF7099"/>
    <w:rsid w:val="00CF7215"/>
    <w:rsid w:val="00CF75D4"/>
    <w:rsid w:val="00CF7604"/>
    <w:rsid w:val="00CF7825"/>
    <w:rsid w:val="00CF7EC2"/>
    <w:rsid w:val="00D0003A"/>
    <w:rsid w:val="00D0032D"/>
    <w:rsid w:val="00D00D70"/>
    <w:rsid w:val="00D01028"/>
    <w:rsid w:val="00D01055"/>
    <w:rsid w:val="00D01D85"/>
    <w:rsid w:val="00D01DD0"/>
    <w:rsid w:val="00D01ECB"/>
    <w:rsid w:val="00D021D4"/>
    <w:rsid w:val="00D0270C"/>
    <w:rsid w:val="00D0287B"/>
    <w:rsid w:val="00D028DE"/>
    <w:rsid w:val="00D029D9"/>
    <w:rsid w:val="00D0316C"/>
    <w:rsid w:val="00D03232"/>
    <w:rsid w:val="00D032BA"/>
    <w:rsid w:val="00D03CD5"/>
    <w:rsid w:val="00D03D64"/>
    <w:rsid w:val="00D03E43"/>
    <w:rsid w:val="00D03F63"/>
    <w:rsid w:val="00D04240"/>
    <w:rsid w:val="00D045DB"/>
    <w:rsid w:val="00D05AF2"/>
    <w:rsid w:val="00D05BF1"/>
    <w:rsid w:val="00D06331"/>
    <w:rsid w:val="00D064E3"/>
    <w:rsid w:val="00D06B68"/>
    <w:rsid w:val="00D074A6"/>
    <w:rsid w:val="00D076C2"/>
    <w:rsid w:val="00D07764"/>
    <w:rsid w:val="00D0797C"/>
    <w:rsid w:val="00D07AB0"/>
    <w:rsid w:val="00D07DDA"/>
    <w:rsid w:val="00D100BD"/>
    <w:rsid w:val="00D10261"/>
    <w:rsid w:val="00D1060A"/>
    <w:rsid w:val="00D109F3"/>
    <w:rsid w:val="00D1117B"/>
    <w:rsid w:val="00D11665"/>
    <w:rsid w:val="00D11CB5"/>
    <w:rsid w:val="00D11CE1"/>
    <w:rsid w:val="00D12F51"/>
    <w:rsid w:val="00D131DC"/>
    <w:rsid w:val="00D1366B"/>
    <w:rsid w:val="00D13B2D"/>
    <w:rsid w:val="00D14058"/>
    <w:rsid w:val="00D14525"/>
    <w:rsid w:val="00D14654"/>
    <w:rsid w:val="00D14CC3"/>
    <w:rsid w:val="00D14FF8"/>
    <w:rsid w:val="00D153BA"/>
    <w:rsid w:val="00D157CA"/>
    <w:rsid w:val="00D1597E"/>
    <w:rsid w:val="00D15EA1"/>
    <w:rsid w:val="00D161D7"/>
    <w:rsid w:val="00D1635F"/>
    <w:rsid w:val="00D16376"/>
    <w:rsid w:val="00D163ED"/>
    <w:rsid w:val="00D16BEF"/>
    <w:rsid w:val="00D16D09"/>
    <w:rsid w:val="00D1706E"/>
    <w:rsid w:val="00D17181"/>
    <w:rsid w:val="00D1724B"/>
    <w:rsid w:val="00D172CF"/>
    <w:rsid w:val="00D1748C"/>
    <w:rsid w:val="00D17533"/>
    <w:rsid w:val="00D179C2"/>
    <w:rsid w:val="00D17C37"/>
    <w:rsid w:val="00D17C90"/>
    <w:rsid w:val="00D17EAA"/>
    <w:rsid w:val="00D20711"/>
    <w:rsid w:val="00D20CCB"/>
    <w:rsid w:val="00D21132"/>
    <w:rsid w:val="00D216A8"/>
    <w:rsid w:val="00D21E06"/>
    <w:rsid w:val="00D21ECF"/>
    <w:rsid w:val="00D2220C"/>
    <w:rsid w:val="00D2238E"/>
    <w:rsid w:val="00D223C2"/>
    <w:rsid w:val="00D224FF"/>
    <w:rsid w:val="00D226FA"/>
    <w:rsid w:val="00D2287E"/>
    <w:rsid w:val="00D2305C"/>
    <w:rsid w:val="00D23108"/>
    <w:rsid w:val="00D239B1"/>
    <w:rsid w:val="00D23AA7"/>
    <w:rsid w:val="00D23B74"/>
    <w:rsid w:val="00D23C77"/>
    <w:rsid w:val="00D23DF5"/>
    <w:rsid w:val="00D247E1"/>
    <w:rsid w:val="00D2507A"/>
    <w:rsid w:val="00D254AF"/>
    <w:rsid w:val="00D2634C"/>
    <w:rsid w:val="00D267D4"/>
    <w:rsid w:val="00D2694A"/>
    <w:rsid w:val="00D26A39"/>
    <w:rsid w:val="00D26B35"/>
    <w:rsid w:val="00D26D06"/>
    <w:rsid w:val="00D27433"/>
    <w:rsid w:val="00D277A8"/>
    <w:rsid w:val="00D27962"/>
    <w:rsid w:val="00D27F03"/>
    <w:rsid w:val="00D30A4C"/>
    <w:rsid w:val="00D30E45"/>
    <w:rsid w:val="00D30F46"/>
    <w:rsid w:val="00D31181"/>
    <w:rsid w:val="00D31249"/>
    <w:rsid w:val="00D3166D"/>
    <w:rsid w:val="00D3188C"/>
    <w:rsid w:val="00D319B9"/>
    <w:rsid w:val="00D323FB"/>
    <w:rsid w:val="00D32B4D"/>
    <w:rsid w:val="00D33324"/>
    <w:rsid w:val="00D33FD7"/>
    <w:rsid w:val="00D34EC9"/>
    <w:rsid w:val="00D34FD4"/>
    <w:rsid w:val="00D3505C"/>
    <w:rsid w:val="00D350CB"/>
    <w:rsid w:val="00D3533B"/>
    <w:rsid w:val="00D35EF0"/>
    <w:rsid w:val="00D35EF5"/>
    <w:rsid w:val="00D35F58"/>
    <w:rsid w:val="00D36324"/>
    <w:rsid w:val="00D368DC"/>
    <w:rsid w:val="00D36904"/>
    <w:rsid w:val="00D37101"/>
    <w:rsid w:val="00D371BE"/>
    <w:rsid w:val="00D372A8"/>
    <w:rsid w:val="00D373EC"/>
    <w:rsid w:val="00D3775D"/>
    <w:rsid w:val="00D377A7"/>
    <w:rsid w:val="00D379B8"/>
    <w:rsid w:val="00D37DD8"/>
    <w:rsid w:val="00D37DDA"/>
    <w:rsid w:val="00D40036"/>
    <w:rsid w:val="00D4008B"/>
    <w:rsid w:val="00D4050E"/>
    <w:rsid w:val="00D418D1"/>
    <w:rsid w:val="00D41BB2"/>
    <w:rsid w:val="00D4206E"/>
    <w:rsid w:val="00D429E8"/>
    <w:rsid w:val="00D42A35"/>
    <w:rsid w:val="00D4324A"/>
    <w:rsid w:val="00D43C2E"/>
    <w:rsid w:val="00D43E02"/>
    <w:rsid w:val="00D4449F"/>
    <w:rsid w:val="00D449E1"/>
    <w:rsid w:val="00D44BB4"/>
    <w:rsid w:val="00D450E7"/>
    <w:rsid w:val="00D452E0"/>
    <w:rsid w:val="00D4545D"/>
    <w:rsid w:val="00D45C7C"/>
    <w:rsid w:val="00D45EFF"/>
    <w:rsid w:val="00D460B3"/>
    <w:rsid w:val="00D46396"/>
    <w:rsid w:val="00D46A3C"/>
    <w:rsid w:val="00D47B6F"/>
    <w:rsid w:val="00D47B7E"/>
    <w:rsid w:val="00D50983"/>
    <w:rsid w:val="00D517A0"/>
    <w:rsid w:val="00D5185F"/>
    <w:rsid w:val="00D51AEA"/>
    <w:rsid w:val="00D51D12"/>
    <w:rsid w:val="00D521D8"/>
    <w:rsid w:val="00D52233"/>
    <w:rsid w:val="00D522CC"/>
    <w:rsid w:val="00D52AA0"/>
    <w:rsid w:val="00D52CB3"/>
    <w:rsid w:val="00D52D6E"/>
    <w:rsid w:val="00D52FD2"/>
    <w:rsid w:val="00D532E3"/>
    <w:rsid w:val="00D5345D"/>
    <w:rsid w:val="00D535AA"/>
    <w:rsid w:val="00D535C0"/>
    <w:rsid w:val="00D53BB6"/>
    <w:rsid w:val="00D53EDE"/>
    <w:rsid w:val="00D559A1"/>
    <w:rsid w:val="00D55C60"/>
    <w:rsid w:val="00D55F5B"/>
    <w:rsid w:val="00D55F80"/>
    <w:rsid w:val="00D5602C"/>
    <w:rsid w:val="00D56CD7"/>
    <w:rsid w:val="00D570D0"/>
    <w:rsid w:val="00D57645"/>
    <w:rsid w:val="00D578F9"/>
    <w:rsid w:val="00D57A61"/>
    <w:rsid w:val="00D60652"/>
    <w:rsid w:val="00D606A2"/>
    <w:rsid w:val="00D60724"/>
    <w:rsid w:val="00D61145"/>
    <w:rsid w:val="00D615FF"/>
    <w:rsid w:val="00D61E03"/>
    <w:rsid w:val="00D6203E"/>
    <w:rsid w:val="00D62139"/>
    <w:rsid w:val="00D62875"/>
    <w:rsid w:val="00D6309F"/>
    <w:rsid w:val="00D630FC"/>
    <w:rsid w:val="00D632FC"/>
    <w:rsid w:val="00D64733"/>
    <w:rsid w:val="00D6498C"/>
    <w:rsid w:val="00D649DB"/>
    <w:rsid w:val="00D64A5E"/>
    <w:rsid w:val="00D64C22"/>
    <w:rsid w:val="00D6517A"/>
    <w:rsid w:val="00D6527D"/>
    <w:rsid w:val="00D6544A"/>
    <w:rsid w:val="00D65808"/>
    <w:rsid w:val="00D658E0"/>
    <w:rsid w:val="00D6655E"/>
    <w:rsid w:val="00D6675A"/>
    <w:rsid w:val="00D66948"/>
    <w:rsid w:val="00D66ABF"/>
    <w:rsid w:val="00D66D34"/>
    <w:rsid w:val="00D6753B"/>
    <w:rsid w:val="00D677E6"/>
    <w:rsid w:val="00D67BC6"/>
    <w:rsid w:val="00D67D97"/>
    <w:rsid w:val="00D67EE2"/>
    <w:rsid w:val="00D70184"/>
    <w:rsid w:val="00D7112D"/>
    <w:rsid w:val="00D713CF"/>
    <w:rsid w:val="00D715D4"/>
    <w:rsid w:val="00D718C0"/>
    <w:rsid w:val="00D71952"/>
    <w:rsid w:val="00D71B7B"/>
    <w:rsid w:val="00D72111"/>
    <w:rsid w:val="00D72313"/>
    <w:rsid w:val="00D726B4"/>
    <w:rsid w:val="00D73256"/>
    <w:rsid w:val="00D73448"/>
    <w:rsid w:val="00D735A4"/>
    <w:rsid w:val="00D73631"/>
    <w:rsid w:val="00D73A17"/>
    <w:rsid w:val="00D73A30"/>
    <w:rsid w:val="00D73EFE"/>
    <w:rsid w:val="00D7485F"/>
    <w:rsid w:val="00D748B2"/>
    <w:rsid w:val="00D74A00"/>
    <w:rsid w:val="00D74BD1"/>
    <w:rsid w:val="00D752D5"/>
    <w:rsid w:val="00D756E2"/>
    <w:rsid w:val="00D75843"/>
    <w:rsid w:val="00D759BA"/>
    <w:rsid w:val="00D75AF9"/>
    <w:rsid w:val="00D75E7F"/>
    <w:rsid w:val="00D75F0B"/>
    <w:rsid w:val="00D75F87"/>
    <w:rsid w:val="00D7605F"/>
    <w:rsid w:val="00D764CB"/>
    <w:rsid w:val="00D765DC"/>
    <w:rsid w:val="00D7676E"/>
    <w:rsid w:val="00D76EF4"/>
    <w:rsid w:val="00D77042"/>
    <w:rsid w:val="00D77272"/>
    <w:rsid w:val="00D77852"/>
    <w:rsid w:val="00D779E8"/>
    <w:rsid w:val="00D77AFE"/>
    <w:rsid w:val="00D77E86"/>
    <w:rsid w:val="00D801BB"/>
    <w:rsid w:val="00D801C2"/>
    <w:rsid w:val="00D8026D"/>
    <w:rsid w:val="00D80784"/>
    <w:rsid w:val="00D808F9"/>
    <w:rsid w:val="00D80DDB"/>
    <w:rsid w:val="00D80E92"/>
    <w:rsid w:val="00D814EA"/>
    <w:rsid w:val="00D81867"/>
    <w:rsid w:val="00D81B1F"/>
    <w:rsid w:val="00D81C9A"/>
    <w:rsid w:val="00D81E24"/>
    <w:rsid w:val="00D82869"/>
    <w:rsid w:val="00D82E89"/>
    <w:rsid w:val="00D83392"/>
    <w:rsid w:val="00D8501C"/>
    <w:rsid w:val="00D85379"/>
    <w:rsid w:val="00D866FA"/>
    <w:rsid w:val="00D86CFA"/>
    <w:rsid w:val="00D8710B"/>
    <w:rsid w:val="00D87D06"/>
    <w:rsid w:val="00D9021D"/>
    <w:rsid w:val="00D9049A"/>
    <w:rsid w:val="00D908D1"/>
    <w:rsid w:val="00D90A16"/>
    <w:rsid w:val="00D91176"/>
    <w:rsid w:val="00D911C7"/>
    <w:rsid w:val="00D9129A"/>
    <w:rsid w:val="00D91E30"/>
    <w:rsid w:val="00D91E61"/>
    <w:rsid w:val="00D92602"/>
    <w:rsid w:val="00D93067"/>
    <w:rsid w:val="00D9319D"/>
    <w:rsid w:val="00D941FE"/>
    <w:rsid w:val="00D95534"/>
    <w:rsid w:val="00D95ADD"/>
    <w:rsid w:val="00D95F8B"/>
    <w:rsid w:val="00D9688E"/>
    <w:rsid w:val="00D96D3A"/>
    <w:rsid w:val="00D971EF"/>
    <w:rsid w:val="00D972FA"/>
    <w:rsid w:val="00D97DB5"/>
    <w:rsid w:val="00D97DD1"/>
    <w:rsid w:val="00D97F12"/>
    <w:rsid w:val="00DA006D"/>
    <w:rsid w:val="00DA00ED"/>
    <w:rsid w:val="00DA030C"/>
    <w:rsid w:val="00DA0310"/>
    <w:rsid w:val="00DA0566"/>
    <w:rsid w:val="00DA0760"/>
    <w:rsid w:val="00DA0AAB"/>
    <w:rsid w:val="00DA0BB5"/>
    <w:rsid w:val="00DA0BF1"/>
    <w:rsid w:val="00DA0BFE"/>
    <w:rsid w:val="00DA187B"/>
    <w:rsid w:val="00DA1A07"/>
    <w:rsid w:val="00DA1AA5"/>
    <w:rsid w:val="00DA263A"/>
    <w:rsid w:val="00DA2753"/>
    <w:rsid w:val="00DA296C"/>
    <w:rsid w:val="00DA2B8B"/>
    <w:rsid w:val="00DA2FF9"/>
    <w:rsid w:val="00DA3069"/>
    <w:rsid w:val="00DA33B1"/>
    <w:rsid w:val="00DA37C5"/>
    <w:rsid w:val="00DA38F2"/>
    <w:rsid w:val="00DA41CD"/>
    <w:rsid w:val="00DA51E2"/>
    <w:rsid w:val="00DA54F1"/>
    <w:rsid w:val="00DA55CA"/>
    <w:rsid w:val="00DA56D2"/>
    <w:rsid w:val="00DA585B"/>
    <w:rsid w:val="00DA5D10"/>
    <w:rsid w:val="00DA6027"/>
    <w:rsid w:val="00DA6071"/>
    <w:rsid w:val="00DA76FA"/>
    <w:rsid w:val="00DA7BF0"/>
    <w:rsid w:val="00DB0490"/>
    <w:rsid w:val="00DB077B"/>
    <w:rsid w:val="00DB09E4"/>
    <w:rsid w:val="00DB0BC6"/>
    <w:rsid w:val="00DB0DEF"/>
    <w:rsid w:val="00DB0E6F"/>
    <w:rsid w:val="00DB168A"/>
    <w:rsid w:val="00DB16EC"/>
    <w:rsid w:val="00DB17E2"/>
    <w:rsid w:val="00DB1910"/>
    <w:rsid w:val="00DB1E1D"/>
    <w:rsid w:val="00DB214F"/>
    <w:rsid w:val="00DB23C8"/>
    <w:rsid w:val="00DB2531"/>
    <w:rsid w:val="00DB29A8"/>
    <w:rsid w:val="00DB2A57"/>
    <w:rsid w:val="00DB2C46"/>
    <w:rsid w:val="00DB30EB"/>
    <w:rsid w:val="00DB373F"/>
    <w:rsid w:val="00DB3B93"/>
    <w:rsid w:val="00DB42FB"/>
    <w:rsid w:val="00DB433C"/>
    <w:rsid w:val="00DB4358"/>
    <w:rsid w:val="00DB47C1"/>
    <w:rsid w:val="00DB489B"/>
    <w:rsid w:val="00DB48A5"/>
    <w:rsid w:val="00DB4E09"/>
    <w:rsid w:val="00DB53FB"/>
    <w:rsid w:val="00DB55A4"/>
    <w:rsid w:val="00DB55E6"/>
    <w:rsid w:val="00DB5EDE"/>
    <w:rsid w:val="00DB62BF"/>
    <w:rsid w:val="00DB650F"/>
    <w:rsid w:val="00DB69C5"/>
    <w:rsid w:val="00DB6BF8"/>
    <w:rsid w:val="00DB6C04"/>
    <w:rsid w:val="00DB7142"/>
    <w:rsid w:val="00DB7C55"/>
    <w:rsid w:val="00DB7E90"/>
    <w:rsid w:val="00DC01A6"/>
    <w:rsid w:val="00DC06E1"/>
    <w:rsid w:val="00DC077D"/>
    <w:rsid w:val="00DC0C01"/>
    <w:rsid w:val="00DC0D47"/>
    <w:rsid w:val="00DC12EF"/>
    <w:rsid w:val="00DC1828"/>
    <w:rsid w:val="00DC1872"/>
    <w:rsid w:val="00DC1EC8"/>
    <w:rsid w:val="00DC28B3"/>
    <w:rsid w:val="00DC2ADF"/>
    <w:rsid w:val="00DC2B11"/>
    <w:rsid w:val="00DC2D93"/>
    <w:rsid w:val="00DC32B4"/>
    <w:rsid w:val="00DC3599"/>
    <w:rsid w:val="00DC3BA5"/>
    <w:rsid w:val="00DC46A4"/>
    <w:rsid w:val="00DC49AB"/>
    <w:rsid w:val="00DC4CF1"/>
    <w:rsid w:val="00DC4F19"/>
    <w:rsid w:val="00DC50E5"/>
    <w:rsid w:val="00DC53A1"/>
    <w:rsid w:val="00DC568A"/>
    <w:rsid w:val="00DC573A"/>
    <w:rsid w:val="00DC58CE"/>
    <w:rsid w:val="00DC628E"/>
    <w:rsid w:val="00DC653B"/>
    <w:rsid w:val="00DC6B04"/>
    <w:rsid w:val="00DC7010"/>
    <w:rsid w:val="00DC70D1"/>
    <w:rsid w:val="00DC7154"/>
    <w:rsid w:val="00DC7CBD"/>
    <w:rsid w:val="00DC7D6A"/>
    <w:rsid w:val="00DC7E7E"/>
    <w:rsid w:val="00DC7F2C"/>
    <w:rsid w:val="00DD017A"/>
    <w:rsid w:val="00DD0475"/>
    <w:rsid w:val="00DD06EE"/>
    <w:rsid w:val="00DD0922"/>
    <w:rsid w:val="00DD0C04"/>
    <w:rsid w:val="00DD1834"/>
    <w:rsid w:val="00DD1CBA"/>
    <w:rsid w:val="00DD1F11"/>
    <w:rsid w:val="00DD1F5B"/>
    <w:rsid w:val="00DD2F69"/>
    <w:rsid w:val="00DD32BF"/>
    <w:rsid w:val="00DD3C08"/>
    <w:rsid w:val="00DD3E0A"/>
    <w:rsid w:val="00DD4128"/>
    <w:rsid w:val="00DD4195"/>
    <w:rsid w:val="00DD42B5"/>
    <w:rsid w:val="00DD5778"/>
    <w:rsid w:val="00DD5911"/>
    <w:rsid w:val="00DD5950"/>
    <w:rsid w:val="00DD5A3B"/>
    <w:rsid w:val="00DD5A52"/>
    <w:rsid w:val="00DD5B69"/>
    <w:rsid w:val="00DD5D6C"/>
    <w:rsid w:val="00DD67AD"/>
    <w:rsid w:val="00DD6D5F"/>
    <w:rsid w:val="00DD6DB7"/>
    <w:rsid w:val="00DD718A"/>
    <w:rsid w:val="00DD7B06"/>
    <w:rsid w:val="00DD7CA3"/>
    <w:rsid w:val="00DE014F"/>
    <w:rsid w:val="00DE03D1"/>
    <w:rsid w:val="00DE08CE"/>
    <w:rsid w:val="00DE0931"/>
    <w:rsid w:val="00DE0BA8"/>
    <w:rsid w:val="00DE0CB4"/>
    <w:rsid w:val="00DE0E45"/>
    <w:rsid w:val="00DE114A"/>
    <w:rsid w:val="00DE1270"/>
    <w:rsid w:val="00DE16BB"/>
    <w:rsid w:val="00DE1CAB"/>
    <w:rsid w:val="00DE1F06"/>
    <w:rsid w:val="00DE2062"/>
    <w:rsid w:val="00DE241C"/>
    <w:rsid w:val="00DE26D0"/>
    <w:rsid w:val="00DE2A39"/>
    <w:rsid w:val="00DE2CC4"/>
    <w:rsid w:val="00DE3DF4"/>
    <w:rsid w:val="00DE478B"/>
    <w:rsid w:val="00DE4845"/>
    <w:rsid w:val="00DE4894"/>
    <w:rsid w:val="00DE4926"/>
    <w:rsid w:val="00DE59AC"/>
    <w:rsid w:val="00DE5B56"/>
    <w:rsid w:val="00DE635D"/>
    <w:rsid w:val="00DE6742"/>
    <w:rsid w:val="00DE6E3B"/>
    <w:rsid w:val="00DE6EF3"/>
    <w:rsid w:val="00DE6F9E"/>
    <w:rsid w:val="00DE73D2"/>
    <w:rsid w:val="00DE7B0F"/>
    <w:rsid w:val="00DE7B1F"/>
    <w:rsid w:val="00DE7E08"/>
    <w:rsid w:val="00DF0090"/>
    <w:rsid w:val="00DF01C5"/>
    <w:rsid w:val="00DF0A18"/>
    <w:rsid w:val="00DF0CAB"/>
    <w:rsid w:val="00DF12B2"/>
    <w:rsid w:val="00DF15E3"/>
    <w:rsid w:val="00DF16D5"/>
    <w:rsid w:val="00DF1D4F"/>
    <w:rsid w:val="00DF1F51"/>
    <w:rsid w:val="00DF204D"/>
    <w:rsid w:val="00DF2159"/>
    <w:rsid w:val="00DF22EB"/>
    <w:rsid w:val="00DF24D8"/>
    <w:rsid w:val="00DF2BC8"/>
    <w:rsid w:val="00DF2C42"/>
    <w:rsid w:val="00DF2C90"/>
    <w:rsid w:val="00DF318A"/>
    <w:rsid w:val="00DF33C1"/>
    <w:rsid w:val="00DF3789"/>
    <w:rsid w:val="00DF3C00"/>
    <w:rsid w:val="00DF3E7E"/>
    <w:rsid w:val="00DF43B7"/>
    <w:rsid w:val="00DF49B0"/>
    <w:rsid w:val="00DF49D5"/>
    <w:rsid w:val="00DF56B4"/>
    <w:rsid w:val="00DF5710"/>
    <w:rsid w:val="00DF601D"/>
    <w:rsid w:val="00DF6665"/>
    <w:rsid w:val="00DF670D"/>
    <w:rsid w:val="00DF73E0"/>
    <w:rsid w:val="00DF7880"/>
    <w:rsid w:val="00DF7942"/>
    <w:rsid w:val="00DF7EA7"/>
    <w:rsid w:val="00E003AA"/>
    <w:rsid w:val="00E006A6"/>
    <w:rsid w:val="00E00FF5"/>
    <w:rsid w:val="00E0114F"/>
    <w:rsid w:val="00E0124D"/>
    <w:rsid w:val="00E013D9"/>
    <w:rsid w:val="00E01CFE"/>
    <w:rsid w:val="00E027C2"/>
    <w:rsid w:val="00E027FF"/>
    <w:rsid w:val="00E028C5"/>
    <w:rsid w:val="00E02B26"/>
    <w:rsid w:val="00E02CDA"/>
    <w:rsid w:val="00E02F9B"/>
    <w:rsid w:val="00E032B5"/>
    <w:rsid w:val="00E0370A"/>
    <w:rsid w:val="00E039C8"/>
    <w:rsid w:val="00E03A6E"/>
    <w:rsid w:val="00E04AA4"/>
    <w:rsid w:val="00E04BDD"/>
    <w:rsid w:val="00E05499"/>
    <w:rsid w:val="00E05745"/>
    <w:rsid w:val="00E05CC5"/>
    <w:rsid w:val="00E05DB9"/>
    <w:rsid w:val="00E067EE"/>
    <w:rsid w:val="00E06F48"/>
    <w:rsid w:val="00E0711D"/>
    <w:rsid w:val="00E07181"/>
    <w:rsid w:val="00E07356"/>
    <w:rsid w:val="00E0749F"/>
    <w:rsid w:val="00E10887"/>
    <w:rsid w:val="00E10C4A"/>
    <w:rsid w:val="00E1100A"/>
    <w:rsid w:val="00E11D44"/>
    <w:rsid w:val="00E11E89"/>
    <w:rsid w:val="00E11E9A"/>
    <w:rsid w:val="00E122FB"/>
    <w:rsid w:val="00E12491"/>
    <w:rsid w:val="00E1258F"/>
    <w:rsid w:val="00E12A5B"/>
    <w:rsid w:val="00E13318"/>
    <w:rsid w:val="00E13CD6"/>
    <w:rsid w:val="00E13D1D"/>
    <w:rsid w:val="00E14EE6"/>
    <w:rsid w:val="00E156A5"/>
    <w:rsid w:val="00E160E9"/>
    <w:rsid w:val="00E1631E"/>
    <w:rsid w:val="00E16663"/>
    <w:rsid w:val="00E16EBD"/>
    <w:rsid w:val="00E17838"/>
    <w:rsid w:val="00E17B4E"/>
    <w:rsid w:val="00E17D19"/>
    <w:rsid w:val="00E17DAF"/>
    <w:rsid w:val="00E20143"/>
    <w:rsid w:val="00E20855"/>
    <w:rsid w:val="00E20B67"/>
    <w:rsid w:val="00E20D23"/>
    <w:rsid w:val="00E20F02"/>
    <w:rsid w:val="00E20FC6"/>
    <w:rsid w:val="00E212E5"/>
    <w:rsid w:val="00E21E14"/>
    <w:rsid w:val="00E21F18"/>
    <w:rsid w:val="00E21FC0"/>
    <w:rsid w:val="00E23209"/>
    <w:rsid w:val="00E235DA"/>
    <w:rsid w:val="00E23E99"/>
    <w:rsid w:val="00E2401D"/>
    <w:rsid w:val="00E240B1"/>
    <w:rsid w:val="00E241A1"/>
    <w:rsid w:val="00E24200"/>
    <w:rsid w:val="00E246E5"/>
    <w:rsid w:val="00E247A6"/>
    <w:rsid w:val="00E249B0"/>
    <w:rsid w:val="00E24D1A"/>
    <w:rsid w:val="00E24DBB"/>
    <w:rsid w:val="00E24E6A"/>
    <w:rsid w:val="00E25036"/>
    <w:rsid w:val="00E2516C"/>
    <w:rsid w:val="00E25368"/>
    <w:rsid w:val="00E255CF"/>
    <w:rsid w:val="00E256B7"/>
    <w:rsid w:val="00E262AC"/>
    <w:rsid w:val="00E266BD"/>
    <w:rsid w:val="00E27593"/>
    <w:rsid w:val="00E27696"/>
    <w:rsid w:val="00E27EB7"/>
    <w:rsid w:val="00E303A2"/>
    <w:rsid w:val="00E30631"/>
    <w:rsid w:val="00E30875"/>
    <w:rsid w:val="00E31503"/>
    <w:rsid w:val="00E3175F"/>
    <w:rsid w:val="00E31BD5"/>
    <w:rsid w:val="00E31D25"/>
    <w:rsid w:val="00E31D9B"/>
    <w:rsid w:val="00E320AE"/>
    <w:rsid w:val="00E3215A"/>
    <w:rsid w:val="00E32519"/>
    <w:rsid w:val="00E32B2E"/>
    <w:rsid w:val="00E32C1A"/>
    <w:rsid w:val="00E3332E"/>
    <w:rsid w:val="00E33460"/>
    <w:rsid w:val="00E33800"/>
    <w:rsid w:val="00E3409E"/>
    <w:rsid w:val="00E342B5"/>
    <w:rsid w:val="00E346B2"/>
    <w:rsid w:val="00E346BC"/>
    <w:rsid w:val="00E348A8"/>
    <w:rsid w:val="00E349DD"/>
    <w:rsid w:val="00E34E8B"/>
    <w:rsid w:val="00E3500B"/>
    <w:rsid w:val="00E353E0"/>
    <w:rsid w:val="00E35B22"/>
    <w:rsid w:val="00E35CAE"/>
    <w:rsid w:val="00E361A9"/>
    <w:rsid w:val="00E361EB"/>
    <w:rsid w:val="00E3620B"/>
    <w:rsid w:val="00E3638B"/>
    <w:rsid w:val="00E36894"/>
    <w:rsid w:val="00E3696C"/>
    <w:rsid w:val="00E36D7D"/>
    <w:rsid w:val="00E36E10"/>
    <w:rsid w:val="00E37349"/>
    <w:rsid w:val="00E37A75"/>
    <w:rsid w:val="00E4077E"/>
    <w:rsid w:val="00E407F6"/>
    <w:rsid w:val="00E40C4E"/>
    <w:rsid w:val="00E410BD"/>
    <w:rsid w:val="00E415E3"/>
    <w:rsid w:val="00E4172F"/>
    <w:rsid w:val="00E4174D"/>
    <w:rsid w:val="00E41BB8"/>
    <w:rsid w:val="00E41F69"/>
    <w:rsid w:val="00E41FF9"/>
    <w:rsid w:val="00E427AC"/>
    <w:rsid w:val="00E42C35"/>
    <w:rsid w:val="00E4367D"/>
    <w:rsid w:val="00E437B2"/>
    <w:rsid w:val="00E43B9E"/>
    <w:rsid w:val="00E43CE7"/>
    <w:rsid w:val="00E441CD"/>
    <w:rsid w:val="00E445DA"/>
    <w:rsid w:val="00E4477B"/>
    <w:rsid w:val="00E44B0F"/>
    <w:rsid w:val="00E44BD7"/>
    <w:rsid w:val="00E44EC5"/>
    <w:rsid w:val="00E450F5"/>
    <w:rsid w:val="00E45701"/>
    <w:rsid w:val="00E45D5F"/>
    <w:rsid w:val="00E45F0F"/>
    <w:rsid w:val="00E45F16"/>
    <w:rsid w:val="00E45F4B"/>
    <w:rsid w:val="00E45F8F"/>
    <w:rsid w:val="00E461A9"/>
    <w:rsid w:val="00E46B14"/>
    <w:rsid w:val="00E4706F"/>
    <w:rsid w:val="00E4714C"/>
    <w:rsid w:val="00E474D2"/>
    <w:rsid w:val="00E47724"/>
    <w:rsid w:val="00E50AB7"/>
    <w:rsid w:val="00E514FC"/>
    <w:rsid w:val="00E51974"/>
    <w:rsid w:val="00E520E5"/>
    <w:rsid w:val="00E522FD"/>
    <w:rsid w:val="00E52C2A"/>
    <w:rsid w:val="00E53E7A"/>
    <w:rsid w:val="00E5455B"/>
    <w:rsid w:val="00E55917"/>
    <w:rsid w:val="00E55BD9"/>
    <w:rsid w:val="00E55C07"/>
    <w:rsid w:val="00E560BA"/>
    <w:rsid w:val="00E5613E"/>
    <w:rsid w:val="00E561EF"/>
    <w:rsid w:val="00E568B7"/>
    <w:rsid w:val="00E56C63"/>
    <w:rsid w:val="00E56CEB"/>
    <w:rsid w:val="00E57195"/>
    <w:rsid w:val="00E57554"/>
    <w:rsid w:val="00E579B7"/>
    <w:rsid w:val="00E57C3A"/>
    <w:rsid w:val="00E600FA"/>
    <w:rsid w:val="00E60513"/>
    <w:rsid w:val="00E60575"/>
    <w:rsid w:val="00E6091D"/>
    <w:rsid w:val="00E60BF9"/>
    <w:rsid w:val="00E60E9B"/>
    <w:rsid w:val="00E61513"/>
    <w:rsid w:val="00E616BE"/>
    <w:rsid w:val="00E61C3A"/>
    <w:rsid w:val="00E6234E"/>
    <w:rsid w:val="00E62780"/>
    <w:rsid w:val="00E62823"/>
    <w:rsid w:val="00E629FD"/>
    <w:rsid w:val="00E62CD8"/>
    <w:rsid w:val="00E62D8C"/>
    <w:rsid w:val="00E62F2A"/>
    <w:rsid w:val="00E63362"/>
    <w:rsid w:val="00E63A04"/>
    <w:rsid w:val="00E63B93"/>
    <w:rsid w:val="00E641CF"/>
    <w:rsid w:val="00E6422B"/>
    <w:rsid w:val="00E643F7"/>
    <w:rsid w:val="00E64B7C"/>
    <w:rsid w:val="00E652CF"/>
    <w:rsid w:val="00E65552"/>
    <w:rsid w:val="00E660A4"/>
    <w:rsid w:val="00E66426"/>
    <w:rsid w:val="00E6762E"/>
    <w:rsid w:val="00E67845"/>
    <w:rsid w:val="00E67898"/>
    <w:rsid w:val="00E67AAF"/>
    <w:rsid w:val="00E67BA6"/>
    <w:rsid w:val="00E67FCF"/>
    <w:rsid w:val="00E70996"/>
    <w:rsid w:val="00E70B1C"/>
    <w:rsid w:val="00E7132D"/>
    <w:rsid w:val="00E7156F"/>
    <w:rsid w:val="00E71A65"/>
    <w:rsid w:val="00E71B99"/>
    <w:rsid w:val="00E71D63"/>
    <w:rsid w:val="00E71F9D"/>
    <w:rsid w:val="00E72429"/>
    <w:rsid w:val="00E72A53"/>
    <w:rsid w:val="00E72D7C"/>
    <w:rsid w:val="00E732A8"/>
    <w:rsid w:val="00E73715"/>
    <w:rsid w:val="00E73D18"/>
    <w:rsid w:val="00E73E80"/>
    <w:rsid w:val="00E73EDE"/>
    <w:rsid w:val="00E73F53"/>
    <w:rsid w:val="00E74190"/>
    <w:rsid w:val="00E75643"/>
    <w:rsid w:val="00E75A34"/>
    <w:rsid w:val="00E75CBD"/>
    <w:rsid w:val="00E76351"/>
    <w:rsid w:val="00E76405"/>
    <w:rsid w:val="00E766FC"/>
    <w:rsid w:val="00E76946"/>
    <w:rsid w:val="00E76BCC"/>
    <w:rsid w:val="00E76CC1"/>
    <w:rsid w:val="00E76D91"/>
    <w:rsid w:val="00E76F05"/>
    <w:rsid w:val="00E76FA5"/>
    <w:rsid w:val="00E772A6"/>
    <w:rsid w:val="00E77409"/>
    <w:rsid w:val="00E801E4"/>
    <w:rsid w:val="00E8027E"/>
    <w:rsid w:val="00E808DD"/>
    <w:rsid w:val="00E810A1"/>
    <w:rsid w:val="00E810C6"/>
    <w:rsid w:val="00E81500"/>
    <w:rsid w:val="00E817D7"/>
    <w:rsid w:val="00E82052"/>
    <w:rsid w:val="00E83CE0"/>
    <w:rsid w:val="00E83D5B"/>
    <w:rsid w:val="00E840F1"/>
    <w:rsid w:val="00E8417C"/>
    <w:rsid w:val="00E844C5"/>
    <w:rsid w:val="00E84864"/>
    <w:rsid w:val="00E84938"/>
    <w:rsid w:val="00E84DBA"/>
    <w:rsid w:val="00E84DBE"/>
    <w:rsid w:val="00E851C1"/>
    <w:rsid w:val="00E85250"/>
    <w:rsid w:val="00E858A5"/>
    <w:rsid w:val="00E85F46"/>
    <w:rsid w:val="00E86217"/>
    <w:rsid w:val="00E86908"/>
    <w:rsid w:val="00E86ED5"/>
    <w:rsid w:val="00E878E5"/>
    <w:rsid w:val="00E90563"/>
    <w:rsid w:val="00E90CBA"/>
    <w:rsid w:val="00E9128F"/>
    <w:rsid w:val="00E91C70"/>
    <w:rsid w:val="00E91FC5"/>
    <w:rsid w:val="00E92B21"/>
    <w:rsid w:val="00E932BD"/>
    <w:rsid w:val="00E93564"/>
    <w:rsid w:val="00E937F6"/>
    <w:rsid w:val="00E93CC5"/>
    <w:rsid w:val="00E94006"/>
    <w:rsid w:val="00E94153"/>
    <w:rsid w:val="00E944FD"/>
    <w:rsid w:val="00E949EF"/>
    <w:rsid w:val="00E94BC4"/>
    <w:rsid w:val="00E95614"/>
    <w:rsid w:val="00E958D9"/>
    <w:rsid w:val="00E96837"/>
    <w:rsid w:val="00E96FCF"/>
    <w:rsid w:val="00E97AE1"/>
    <w:rsid w:val="00E97AFC"/>
    <w:rsid w:val="00E97D92"/>
    <w:rsid w:val="00E97F05"/>
    <w:rsid w:val="00EA00A4"/>
    <w:rsid w:val="00EA0389"/>
    <w:rsid w:val="00EA0C29"/>
    <w:rsid w:val="00EA137B"/>
    <w:rsid w:val="00EA19F7"/>
    <w:rsid w:val="00EA1B0E"/>
    <w:rsid w:val="00EA1CBE"/>
    <w:rsid w:val="00EA2197"/>
    <w:rsid w:val="00EA22A4"/>
    <w:rsid w:val="00EA236A"/>
    <w:rsid w:val="00EA23CD"/>
    <w:rsid w:val="00EA2B11"/>
    <w:rsid w:val="00EA32CE"/>
    <w:rsid w:val="00EA3668"/>
    <w:rsid w:val="00EA3FEF"/>
    <w:rsid w:val="00EA421D"/>
    <w:rsid w:val="00EA4398"/>
    <w:rsid w:val="00EA502B"/>
    <w:rsid w:val="00EA5349"/>
    <w:rsid w:val="00EA5753"/>
    <w:rsid w:val="00EA5FB2"/>
    <w:rsid w:val="00EA6641"/>
    <w:rsid w:val="00EA713D"/>
    <w:rsid w:val="00EA722B"/>
    <w:rsid w:val="00EA7B0D"/>
    <w:rsid w:val="00EA7CC0"/>
    <w:rsid w:val="00EA7E51"/>
    <w:rsid w:val="00EA7FCA"/>
    <w:rsid w:val="00EB0437"/>
    <w:rsid w:val="00EB08A2"/>
    <w:rsid w:val="00EB0B99"/>
    <w:rsid w:val="00EB0F53"/>
    <w:rsid w:val="00EB1036"/>
    <w:rsid w:val="00EB13A2"/>
    <w:rsid w:val="00EB247F"/>
    <w:rsid w:val="00EB2A0F"/>
    <w:rsid w:val="00EB2C44"/>
    <w:rsid w:val="00EB2D77"/>
    <w:rsid w:val="00EB2F83"/>
    <w:rsid w:val="00EB2FEB"/>
    <w:rsid w:val="00EB406C"/>
    <w:rsid w:val="00EB4739"/>
    <w:rsid w:val="00EB4A8F"/>
    <w:rsid w:val="00EB4CB4"/>
    <w:rsid w:val="00EB50C4"/>
    <w:rsid w:val="00EB5819"/>
    <w:rsid w:val="00EB5885"/>
    <w:rsid w:val="00EB59B6"/>
    <w:rsid w:val="00EB5A49"/>
    <w:rsid w:val="00EB5D8D"/>
    <w:rsid w:val="00EB6BCB"/>
    <w:rsid w:val="00EB6DA7"/>
    <w:rsid w:val="00EB74BC"/>
    <w:rsid w:val="00EB75A1"/>
    <w:rsid w:val="00EB763D"/>
    <w:rsid w:val="00EB79FF"/>
    <w:rsid w:val="00EB7F20"/>
    <w:rsid w:val="00EC042E"/>
    <w:rsid w:val="00EC04C5"/>
    <w:rsid w:val="00EC05F6"/>
    <w:rsid w:val="00EC0B1F"/>
    <w:rsid w:val="00EC0F4E"/>
    <w:rsid w:val="00EC1000"/>
    <w:rsid w:val="00EC1617"/>
    <w:rsid w:val="00EC1C2E"/>
    <w:rsid w:val="00EC1CF9"/>
    <w:rsid w:val="00EC1D74"/>
    <w:rsid w:val="00EC21BB"/>
    <w:rsid w:val="00EC239A"/>
    <w:rsid w:val="00EC2414"/>
    <w:rsid w:val="00EC248D"/>
    <w:rsid w:val="00EC2811"/>
    <w:rsid w:val="00EC2900"/>
    <w:rsid w:val="00EC312F"/>
    <w:rsid w:val="00EC3248"/>
    <w:rsid w:val="00EC32C6"/>
    <w:rsid w:val="00EC3378"/>
    <w:rsid w:val="00EC3418"/>
    <w:rsid w:val="00EC4448"/>
    <w:rsid w:val="00EC4483"/>
    <w:rsid w:val="00EC4E3C"/>
    <w:rsid w:val="00EC4EC6"/>
    <w:rsid w:val="00EC5193"/>
    <w:rsid w:val="00EC54DE"/>
    <w:rsid w:val="00EC5619"/>
    <w:rsid w:val="00EC6619"/>
    <w:rsid w:val="00EC6DDC"/>
    <w:rsid w:val="00EC6EB2"/>
    <w:rsid w:val="00EC6F4B"/>
    <w:rsid w:val="00EC71DA"/>
    <w:rsid w:val="00EC780F"/>
    <w:rsid w:val="00EC784F"/>
    <w:rsid w:val="00EC7AFC"/>
    <w:rsid w:val="00EC7B0B"/>
    <w:rsid w:val="00EC7BF8"/>
    <w:rsid w:val="00EC7E5C"/>
    <w:rsid w:val="00ED0088"/>
    <w:rsid w:val="00ED092D"/>
    <w:rsid w:val="00ED09A0"/>
    <w:rsid w:val="00ED1183"/>
    <w:rsid w:val="00ED149D"/>
    <w:rsid w:val="00ED1B9E"/>
    <w:rsid w:val="00ED1D93"/>
    <w:rsid w:val="00ED1DB9"/>
    <w:rsid w:val="00ED20CD"/>
    <w:rsid w:val="00ED20F6"/>
    <w:rsid w:val="00ED22C1"/>
    <w:rsid w:val="00ED23C6"/>
    <w:rsid w:val="00ED25D6"/>
    <w:rsid w:val="00ED334E"/>
    <w:rsid w:val="00ED35E6"/>
    <w:rsid w:val="00ED3670"/>
    <w:rsid w:val="00ED3879"/>
    <w:rsid w:val="00ED3B3B"/>
    <w:rsid w:val="00ED4171"/>
    <w:rsid w:val="00ED42A6"/>
    <w:rsid w:val="00ED4461"/>
    <w:rsid w:val="00ED454B"/>
    <w:rsid w:val="00ED4603"/>
    <w:rsid w:val="00ED4A57"/>
    <w:rsid w:val="00ED4FC1"/>
    <w:rsid w:val="00ED501A"/>
    <w:rsid w:val="00ED59A5"/>
    <w:rsid w:val="00ED5B62"/>
    <w:rsid w:val="00ED5B9E"/>
    <w:rsid w:val="00ED61A1"/>
    <w:rsid w:val="00ED6285"/>
    <w:rsid w:val="00ED6EDE"/>
    <w:rsid w:val="00ED751D"/>
    <w:rsid w:val="00ED7AC6"/>
    <w:rsid w:val="00EE01B8"/>
    <w:rsid w:val="00EE0A0E"/>
    <w:rsid w:val="00EE10E0"/>
    <w:rsid w:val="00EE1547"/>
    <w:rsid w:val="00EE175C"/>
    <w:rsid w:val="00EE1A3F"/>
    <w:rsid w:val="00EE1B21"/>
    <w:rsid w:val="00EE2060"/>
    <w:rsid w:val="00EE2168"/>
    <w:rsid w:val="00EE22F0"/>
    <w:rsid w:val="00EE236D"/>
    <w:rsid w:val="00EE26C0"/>
    <w:rsid w:val="00EE2933"/>
    <w:rsid w:val="00EE3130"/>
    <w:rsid w:val="00EE3219"/>
    <w:rsid w:val="00EE356F"/>
    <w:rsid w:val="00EE361A"/>
    <w:rsid w:val="00EE36A7"/>
    <w:rsid w:val="00EE3DBD"/>
    <w:rsid w:val="00EE3FB2"/>
    <w:rsid w:val="00EE42DC"/>
    <w:rsid w:val="00EE4630"/>
    <w:rsid w:val="00EE4714"/>
    <w:rsid w:val="00EE4D98"/>
    <w:rsid w:val="00EE4DBB"/>
    <w:rsid w:val="00EE503A"/>
    <w:rsid w:val="00EE5114"/>
    <w:rsid w:val="00EE545A"/>
    <w:rsid w:val="00EE5D7A"/>
    <w:rsid w:val="00EE612B"/>
    <w:rsid w:val="00EE630B"/>
    <w:rsid w:val="00EE67C4"/>
    <w:rsid w:val="00EE68BB"/>
    <w:rsid w:val="00EE7132"/>
    <w:rsid w:val="00EE730A"/>
    <w:rsid w:val="00EE7A58"/>
    <w:rsid w:val="00EF03DE"/>
    <w:rsid w:val="00EF0BE6"/>
    <w:rsid w:val="00EF120D"/>
    <w:rsid w:val="00EF2356"/>
    <w:rsid w:val="00EF2597"/>
    <w:rsid w:val="00EF27E4"/>
    <w:rsid w:val="00EF2928"/>
    <w:rsid w:val="00EF31C0"/>
    <w:rsid w:val="00EF39B8"/>
    <w:rsid w:val="00EF3F0F"/>
    <w:rsid w:val="00EF3F68"/>
    <w:rsid w:val="00EF4144"/>
    <w:rsid w:val="00EF45CC"/>
    <w:rsid w:val="00EF4A8D"/>
    <w:rsid w:val="00EF4F8F"/>
    <w:rsid w:val="00EF502F"/>
    <w:rsid w:val="00EF50D4"/>
    <w:rsid w:val="00EF511D"/>
    <w:rsid w:val="00EF5212"/>
    <w:rsid w:val="00EF56F2"/>
    <w:rsid w:val="00EF5818"/>
    <w:rsid w:val="00EF643F"/>
    <w:rsid w:val="00EF6546"/>
    <w:rsid w:val="00EF6627"/>
    <w:rsid w:val="00EF66F5"/>
    <w:rsid w:val="00EF6C53"/>
    <w:rsid w:val="00EF6DDD"/>
    <w:rsid w:val="00EF7092"/>
    <w:rsid w:val="00EF7418"/>
    <w:rsid w:val="00EF7DB0"/>
    <w:rsid w:val="00F0046A"/>
    <w:rsid w:val="00F0060A"/>
    <w:rsid w:val="00F00626"/>
    <w:rsid w:val="00F01114"/>
    <w:rsid w:val="00F01435"/>
    <w:rsid w:val="00F01B83"/>
    <w:rsid w:val="00F01FA6"/>
    <w:rsid w:val="00F02601"/>
    <w:rsid w:val="00F0264A"/>
    <w:rsid w:val="00F02C94"/>
    <w:rsid w:val="00F02D32"/>
    <w:rsid w:val="00F034C8"/>
    <w:rsid w:val="00F035FF"/>
    <w:rsid w:val="00F03724"/>
    <w:rsid w:val="00F04183"/>
    <w:rsid w:val="00F0445D"/>
    <w:rsid w:val="00F049E8"/>
    <w:rsid w:val="00F04B3D"/>
    <w:rsid w:val="00F05826"/>
    <w:rsid w:val="00F05A5E"/>
    <w:rsid w:val="00F05EBC"/>
    <w:rsid w:val="00F065EA"/>
    <w:rsid w:val="00F0792A"/>
    <w:rsid w:val="00F07F85"/>
    <w:rsid w:val="00F10429"/>
    <w:rsid w:val="00F106E1"/>
    <w:rsid w:val="00F107FD"/>
    <w:rsid w:val="00F10A85"/>
    <w:rsid w:val="00F11614"/>
    <w:rsid w:val="00F11618"/>
    <w:rsid w:val="00F11787"/>
    <w:rsid w:val="00F117F5"/>
    <w:rsid w:val="00F118B8"/>
    <w:rsid w:val="00F118CC"/>
    <w:rsid w:val="00F11F30"/>
    <w:rsid w:val="00F11FDF"/>
    <w:rsid w:val="00F13255"/>
    <w:rsid w:val="00F1354B"/>
    <w:rsid w:val="00F136B6"/>
    <w:rsid w:val="00F13D73"/>
    <w:rsid w:val="00F140D5"/>
    <w:rsid w:val="00F14789"/>
    <w:rsid w:val="00F147A0"/>
    <w:rsid w:val="00F1665F"/>
    <w:rsid w:val="00F16DB6"/>
    <w:rsid w:val="00F16F14"/>
    <w:rsid w:val="00F17545"/>
    <w:rsid w:val="00F176AA"/>
    <w:rsid w:val="00F177B6"/>
    <w:rsid w:val="00F1786B"/>
    <w:rsid w:val="00F17A10"/>
    <w:rsid w:val="00F17C98"/>
    <w:rsid w:val="00F17D97"/>
    <w:rsid w:val="00F17FC6"/>
    <w:rsid w:val="00F20014"/>
    <w:rsid w:val="00F2047A"/>
    <w:rsid w:val="00F20680"/>
    <w:rsid w:val="00F20AD8"/>
    <w:rsid w:val="00F20F7E"/>
    <w:rsid w:val="00F22017"/>
    <w:rsid w:val="00F221DC"/>
    <w:rsid w:val="00F2270C"/>
    <w:rsid w:val="00F22787"/>
    <w:rsid w:val="00F22A08"/>
    <w:rsid w:val="00F22AC8"/>
    <w:rsid w:val="00F22F19"/>
    <w:rsid w:val="00F2315D"/>
    <w:rsid w:val="00F23B9B"/>
    <w:rsid w:val="00F23DAA"/>
    <w:rsid w:val="00F24715"/>
    <w:rsid w:val="00F24A12"/>
    <w:rsid w:val="00F24B4A"/>
    <w:rsid w:val="00F24C3A"/>
    <w:rsid w:val="00F24E6A"/>
    <w:rsid w:val="00F24FC0"/>
    <w:rsid w:val="00F258C0"/>
    <w:rsid w:val="00F259D4"/>
    <w:rsid w:val="00F25A1C"/>
    <w:rsid w:val="00F25BF3"/>
    <w:rsid w:val="00F25CE3"/>
    <w:rsid w:val="00F25D93"/>
    <w:rsid w:val="00F2612B"/>
    <w:rsid w:val="00F261BD"/>
    <w:rsid w:val="00F2684F"/>
    <w:rsid w:val="00F268E3"/>
    <w:rsid w:val="00F269C8"/>
    <w:rsid w:val="00F26B4C"/>
    <w:rsid w:val="00F26BC9"/>
    <w:rsid w:val="00F26F7C"/>
    <w:rsid w:val="00F27072"/>
    <w:rsid w:val="00F27345"/>
    <w:rsid w:val="00F2736A"/>
    <w:rsid w:val="00F2746A"/>
    <w:rsid w:val="00F30464"/>
    <w:rsid w:val="00F304C7"/>
    <w:rsid w:val="00F30C65"/>
    <w:rsid w:val="00F30D6A"/>
    <w:rsid w:val="00F311F3"/>
    <w:rsid w:val="00F315F3"/>
    <w:rsid w:val="00F31D81"/>
    <w:rsid w:val="00F31EC8"/>
    <w:rsid w:val="00F32461"/>
    <w:rsid w:val="00F32946"/>
    <w:rsid w:val="00F32A38"/>
    <w:rsid w:val="00F32E0F"/>
    <w:rsid w:val="00F32E29"/>
    <w:rsid w:val="00F32F40"/>
    <w:rsid w:val="00F33066"/>
    <w:rsid w:val="00F33943"/>
    <w:rsid w:val="00F33AB9"/>
    <w:rsid w:val="00F34122"/>
    <w:rsid w:val="00F346A4"/>
    <w:rsid w:val="00F34D21"/>
    <w:rsid w:val="00F34FA3"/>
    <w:rsid w:val="00F34FCA"/>
    <w:rsid w:val="00F35000"/>
    <w:rsid w:val="00F3538C"/>
    <w:rsid w:val="00F358EE"/>
    <w:rsid w:val="00F35AA0"/>
    <w:rsid w:val="00F35B7B"/>
    <w:rsid w:val="00F35D44"/>
    <w:rsid w:val="00F36298"/>
    <w:rsid w:val="00F371E7"/>
    <w:rsid w:val="00F378AE"/>
    <w:rsid w:val="00F37AA6"/>
    <w:rsid w:val="00F37DAE"/>
    <w:rsid w:val="00F40025"/>
    <w:rsid w:val="00F402EF"/>
    <w:rsid w:val="00F40BAB"/>
    <w:rsid w:val="00F41509"/>
    <w:rsid w:val="00F41628"/>
    <w:rsid w:val="00F41643"/>
    <w:rsid w:val="00F417DD"/>
    <w:rsid w:val="00F41CB4"/>
    <w:rsid w:val="00F41E40"/>
    <w:rsid w:val="00F421E5"/>
    <w:rsid w:val="00F42F53"/>
    <w:rsid w:val="00F42F6E"/>
    <w:rsid w:val="00F433E6"/>
    <w:rsid w:val="00F43860"/>
    <w:rsid w:val="00F438FF"/>
    <w:rsid w:val="00F444B4"/>
    <w:rsid w:val="00F450A7"/>
    <w:rsid w:val="00F45247"/>
    <w:rsid w:val="00F45514"/>
    <w:rsid w:val="00F45B13"/>
    <w:rsid w:val="00F45C2A"/>
    <w:rsid w:val="00F45D9C"/>
    <w:rsid w:val="00F46199"/>
    <w:rsid w:val="00F46244"/>
    <w:rsid w:val="00F463D6"/>
    <w:rsid w:val="00F46D79"/>
    <w:rsid w:val="00F46E8A"/>
    <w:rsid w:val="00F47A35"/>
    <w:rsid w:val="00F50A7E"/>
    <w:rsid w:val="00F50ADF"/>
    <w:rsid w:val="00F50B59"/>
    <w:rsid w:val="00F50C39"/>
    <w:rsid w:val="00F51206"/>
    <w:rsid w:val="00F51477"/>
    <w:rsid w:val="00F5149A"/>
    <w:rsid w:val="00F5169D"/>
    <w:rsid w:val="00F51D5A"/>
    <w:rsid w:val="00F51E69"/>
    <w:rsid w:val="00F51EE9"/>
    <w:rsid w:val="00F52610"/>
    <w:rsid w:val="00F526C2"/>
    <w:rsid w:val="00F52C17"/>
    <w:rsid w:val="00F52CC7"/>
    <w:rsid w:val="00F52F12"/>
    <w:rsid w:val="00F53729"/>
    <w:rsid w:val="00F53786"/>
    <w:rsid w:val="00F5404C"/>
    <w:rsid w:val="00F543F3"/>
    <w:rsid w:val="00F54729"/>
    <w:rsid w:val="00F5483D"/>
    <w:rsid w:val="00F54AE9"/>
    <w:rsid w:val="00F54B62"/>
    <w:rsid w:val="00F54C00"/>
    <w:rsid w:val="00F5538D"/>
    <w:rsid w:val="00F555AA"/>
    <w:rsid w:val="00F557F0"/>
    <w:rsid w:val="00F5594A"/>
    <w:rsid w:val="00F55984"/>
    <w:rsid w:val="00F55B7C"/>
    <w:rsid w:val="00F55CB7"/>
    <w:rsid w:val="00F5623F"/>
    <w:rsid w:val="00F5667B"/>
    <w:rsid w:val="00F566BD"/>
    <w:rsid w:val="00F5684C"/>
    <w:rsid w:val="00F569CC"/>
    <w:rsid w:val="00F56AF3"/>
    <w:rsid w:val="00F56D67"/>
    <w:rsid w:val="00F57273"/>
    <w:rsid w:val="00F573E9"/>
    <w:rsid w:val="00F5747F"/>
    <w:rsid w:val="00F57647"/>
    <w:rsid w:val="00F57B23"/>
    <w:rsid w:val="00F57FE9"/>
    <w:rsid w:val="00F60223"/>
    <w:rsid w:val="00F60332"/>
    <w:rsid w:val="00F60771"/>
    <w:rsid w:val="00F61240"/>
    <w:rsid w:val="00F6126A"/>
    <w:rsid w:val="00F61691"/>
    <w:rsid w:val="00F616D7"/>
    <w:rsid w:val="00F61845"/>
    <w:rsid w:val="00F619AF"/>
    <w:rsid w:val="00F625D1"/>
    <w:rsid w:val="00F625F0"/>
    <w:rsid w:val="00F6260B"/>
    <w:rsid w:val="00F62A9D"/>
    <w:rsid w:val="00F63041"/>
    <w:rsid w:val="00F633E6"/>
    <w:rsid w:val="00F63DC1"/>
    <w:rsid w:val="00F6411E"/>
    <w:rsid w:val="00F64BBF"/>
    <w:rsid w:val="00F64D14"/>
    <w:rsid w:val="00F64D35"/>
    <w:rsid w:val="00F64D6E"/>
    <w:rsid w:val="00F64E19"/>
    <w:rsid w:val="00F64F95"/>
    <w:rsid w:val="00F654FE"/>
    <w:rsid w:val="00F65F4B"/>
    <w:rsid w:val="00F662E9"/>
    <w:rsid w:val="00F6655E"/>
    <w:rsid w:val="00F6665C"/>
    <w:rsid w:val="00F66B46"/>
    <w:rsid w:val="00F67463"/>
    <w:rsid w:val="00F67490"/>
    <w:rsid w:val="00F70626"/>
    <w:rsid w:val="00F709BD"/>
    <w:rsid w:val="00F70A39"/>
    <w:rsid w:val="00F70C2F"/>
    <w:rsid w:val="00F70E3B"/>
    <w:rsid w:val="00F70EFE"/>
    <w:rsid w:val="00F7103D"/>
    <w:rsid w:val="00F711CA"/>
    <w:rsid w:val="00F714C9"/>
    <w:rsid w:val="00F71F24"/>
    <w:rsid w:val="00F7224E"/>
    <w:rsid w:val="00F722B8"/>
    <w:rsid w:val="00F72746"/>
    <w:rsid w:val="00F732AF"/>
    <w:rsid w:val="00F732F1"/>
    <w:rsid w:val="00F737BE"/>
    <w:rsid w:val="00F73BC2"/>
    <w:rsid w:val="00F73BF6"/>
    <w:rsid w:val="00F73FEB"/>
    <w:rsid w:val="00F744FE"/>
    <w:rsid w:val="00F74902"/>
    <w:rsid w:val="00F74989"/>
    <w:rsid w:val="00F749BC"/>
    <w:rsid w:val="00F7510E"/>
    <w:rsid w:val="00F75AF1"/>
    <w:rsid w:val="00F75C64"/>
    <w:rsid w:val="00F760C5"/>
    <w:rsid w:val="00F770C1"/>
    <w:rsid w:val="00F770FA"/>
    <w:rsid w:val="00F77840"/>
    <w:rsid w:val="00F77A34"/>
    <w:rsid w:val="00F77BF7"/>
    <w:rsid w:val="00F77F75"/>
    <w:rsid w:val="00F80074"/>
    <w:rsid w:val="00F80341"/>
    <w:rsid w:val="00F80478"/>
    <w:rsid w:val="00F8064E"/>
    <w:rsid w:val="00F8083D"/>
    <w:rsid w:val="00F81B41"/>
    <w:rsid w:val="00F82345"/>
    <w:rsid w:val="00F82615"/>
    <w:rsid w:val="00F82908"/>
    <w:rsid w:val="00F82A3B"/>
    <w:rsid w:val="00F8308C"/>
    <w:rsid w:val="00F83F04"/>
    <w:rsid w:val="00F84463"/>
    <w:rsid w:val="00F844AE"/>
    <w:rsid w:val="00F845D2"/>
    <w:rsid w:val="00F84B27"/>
    <w:rsid w:val="00F852C7"/>
    <w:rsid w:val="00F8546A"/>
    <w:rsid w:val="00F85A15"/>
    <w:rsid w:val="00F85D6F"/>
    <w:rsid w:val="00F85E8C"/>
    <w:rsid w:val="00F85F78"/>
    <w:rsid w:val="00F86327"/>
    <w:rsid w:val="00F865AC"/>
    <w:rsid w:val="00F86A13"/>
    <w:rsid w:val="00F86E13"/>
    <w:rsid w:val="00F87257"/>
    <w:rsid w:val="00F87E68"/>
    <w:rsid w:val="00F9004D"/>
    <w:rsid w:val="00F90057"/>
    <w:rsid w:val="00F90615"/>
    <w:rsid w:val="00F909CF"/>
    <w:rsid w:val="00F90C13"/>
    <w:rsid w:val="00F90CBB"/>
    <w:rsid w:val="00F91315"/>
    <w:rsid w:val="00F91400"/>
    <w:rsid w:val="00F919CD"/>
    <w:rsid w:val="00F91C00"/>
    <w:rsid w:val="00F91DD2"/>
    <w:rsid w:val="00F92039"/>
    <w:rsid w:val="00F927AB"/>
    <w:rsid w:val="00F92B4D"/>
    <w:rsid w:val="00F92C8C"/>
    <w:rsid w:val="00F9376B"/>
    <w:rsid w:val="00F9381A"/>
    <w:rsid w:val="00F93A5B"/>
    <w:rsid w:val="00F93D62"/>
    <w:rsid w:val="00F93F5F"/>
    <w:rsid w:val="00F941F5"/>
    <w:rsid w:val="00F947CD"/>
    <w:rsid w:val="00F94FED"/>
    <w:rsid w:val="00F9520B"/>
    <w:rsid w:val="00F95274"/>
    <w:rsid w:val="00F95A9D"/>
    <w:rsid w:val="00F9604A"/>
    <w:rsid w:val="00F96C7F"/>
    <w:rsid w:val="00F96EAA"/>
    <w:rsid w:val="00F96F2A"/>
    <w:rsid w:val="00F970C0"/>
    <w:rsid w:val="00F9784D"/>
    <w:rsid w:val="00F979FE"/>
    <w:rsid w:val="00F97EE3"/>
    <w:rsid w:val="00F97FAE"/>
    <w:rsid w:val="00FA0005"/>
    <w:rsid w:val="00FA016C"/>
    <w:rsid w:val="00FA0601"/>
    <w:rsid w:val="00FA0749"/>
    <w:rsid w:val="00FA08A4"/>
    <w:rsid w:val="00FA0EB7"/>
    <w:rsid w:val="00FA1697"/>
    <w:rsid w:val="00FA1C35"/>
    <w:rsid w:val="00FA20B2"/>
    <w:rsid w:val="00FA23C8"/>
    <w:rsid w:val="00FA26F3"/>
    <w:rsid w:val="00FA29A3"/>
    <w:rsid w:val="00FA2D64"/>
    <w:rsid w:val="00FA2DFE"/>
    <w:rsid w:val="00FA2E4B"/>
    <w:rsid w:val="00FA2F0C"/>
    <w:rsid w:val="00FA3116"/>
    <w:rsid w:val="00FA32CA"/>
    <w:rsid w:val="00FA39B4"/>
    <w:rsid w:val="00FA3C53"/>
    <w:rsid w:val="00FA4698"/>
    <w:rsid w:val="00FA4CF7"/>
    <w:rsid w:val="00FA50EF"/>
    <w:rsid w:val="00FA50F8"/>
    <w:rsid w:val="00FA53B9"/>
    <w:rsid w:val="00FA540E"/>
    <w:rsid w:val="00FA56E1"/>
    <w:rsid w:val="00FA64E7"/>
    <w:rsid w:val="00FA650F"/>
    <w:rsid w:val="00FA67FF"/>
    <w:rsid w:val="00FA6B69"/>
    <w:rsid w:val="00FA6DD5"/>
    <w:rsid w:val="00FA72A1"/>
    <w:rsid w:val="00FA72AB"/>
    <w:rsid w:val="00FA7B27"/>
    <w:rsid w:val="00FA7CFA"/>
    <w:rsid w:val="00FB06D7"/>
    <w:rsid w:val="00FB09D6"/>
    <w:rsid w:val="00FB0EE4"/>
    <w:rsid w:val="00FB10AA"/>
    <w:rsid w:val="00FB10F1"/>
    <w:rsid w:val="00FB1CBB"/>
    <w:rsid w:val="00FB2F69"/>
    <w:rsid w:val="00FB309A"/>
    <w:rsid w:val="00FB3327"/>
    <w:rsid w:val="00FB3EFF"/>
    <w:rsid w:val="00FB4099"/>
    <w:rsid w:val="00FB45A4"/>
    <w:rsid w:val="00FB4993"/>
    <w:rsid w:val="00FB49BD"/>
    <w:rsid w:val="00FB4EEE"/>
    <w:rsid w:val="00FB5A2F"/>
    <w:rsid w:val="00FB5C4C"/>
    <w:rsid w:val="00FB647C"/>
    <w:rsid w:val="00FB6BCC"/>
    <w:rsid w:val="00FB700F"/>
    <w:rsid w:val="00FB70E0"/>
    <w:rsid w:val="00FB7C87"/>
    <w:rsid w:val="00FC0037"/>
    <w:rsid w:val="00FC060F"/>
    <w:rsid w:val="00FC06EE"/>
    <w:rsid w:val="00FC0E5E"/>
    <w:rsid w:val="00FC1D52"/>
    <w:rsid w:val="00FC2486"/>
    <w:rsid w:val="00FC2558"/>
    <w:rsid w:val="00FC2627"/>
    <w:rsid w:val="00FC275F"/>
    <w:rsid w:val="00FC278A"/>
    <w:rsid w:val="00FC29FE"/>
    <w:rsid w:val="00FC2D63"/>
    <w:rsid w:val="00FC32AB"/>
    <w:rsid w:val="00FC38D9"/>
    <w:rsid w:val="00FC3E90"/>
    <w:rsid w:val="00FC4137"/>
    <w:rsid w:val="00FC4411"/>
    <w:rsid w:val="00FC46A1"/>
    <w:rsid w:val="00FC481C"/>
    <w:rsid w:val="00FC49F2"/>
    <w:rsid w:val="00FC4C0F"/>
    <w:rsid w:val="00FC4D94"/>
    <w:rsid w:val="00FC53B6"/>
    <w:rsid w:val="00FC557C"/>
    <w:rsid w:val="00FC5982"/>
    <w:rsid w:val="00FC5C4A"/>
    <w:rsid w:val="00FC5CF2"/>
    <w:rsid w:val="00FC5D69"/>
    <w:rsid w:val="00FC5D95"/>
    <w:rsid w:val="00FC5ED9"/>
    <w:rsid w:val="00FC61BA"/>
    <w:rsid w:val="00FC61EC"/>
    <w:rsid w:val="00FC6730"/>
    <w:rsid w:val="00FC69F0"/>
    <w:rsid w:val="00FC69F9"/>
    <w:rsid w:val="00FC6C78"/>
    <w:rsid w:val="00FC731F"/>
    <w:rsid w:val="00FC78D3"/>
    <w:rsid w:val="00FC7922"/>
    <w:rsid w:val="00FC795F"/>
    <w:rsid w:val="00FC7AD8"/>
    <w:rsid w:val="00FD02B0"/>
    <w:rsid w:val="00FD02EE"/>
    <w:rsid w:val="00FD061F"/>
    <w:rsid w:val="00FD076F"/>
    <w:rsid w:val="00FD08F7"/>
    <w:rsid w:val="00FD0A0A"/>
    <w:rsid w:val="00FD0C19"/>
    <w:rsid w:val="00FD0E6D"/>
    <w:rsid w:val="00FD0EB8"/>
    <w:rsid w:val="00FD1B91"/>
    <w:rsid w:val="00FD1FAB"/>
    <w:rsid w:val="00FD20AF"/>
    <w:rsid w:val="00FD21B1"/>
    <w:rsid w:val="00FD2683"/>
    <w:rsid w:val="00FD2970"/>
    <w:rsid w:val="00FD2B1A"/>
    <w:rsid w:val="00FD2E17"/>
    <w:rsid w:val="00FD2F17"/>
    <w:rsid w:val="00FD2F5A"/>
    <w:rsid w:val="00FD3249"/>
    <w:rsid w:val="00FD3343"/>
    <w:rsid w:val="00FD336F"/>
    <w:rsid w:val="00FD38F1"/>
    <w:rsid w:val="00FD3AC7"/>
    <w:rsid w:val="00FD414F"/>
    <w:rsid w:val="00FD4278"/>
    <w:rsid w:val="00FD42D0"/>
    <w:rsid w:val="00FD466D"/>
    <w:rsid w:val="00FD4823"/>
    <w:rsid w:val="00FD4A24"/>
    <w:rsid w:val="00FD4C9A"/>
    <w:rsid w:val="00FD4F75"/>
    <w:rsid w:val="00FD503E"/>
    <w:rsid w:val="00FD535E"/>
    <w:rsid w:val="00FD53F9"/>
    <w:rsid w:val="00FD55BF"/>
    <w:rsid w:val="00FD5C92"/>
    <w:rsid w:val="00FD5E0C"/>
    <w:rsid w:val="00FD5E18"/>
    <w:rsid w:val="00FD5FBF"/>
    <w:rsid w:val="00FD64DF"/>
    <w:rsid w:val="00FD6602"/>
    <w:rsid w:val="00FD6661"/>
    <w:rsid w:val="00FD6CCC"/>
    <w:rsid w:val="00FD6CF6"/>
    <w:rsid w:val="00FD6E6B"/>
    <w:rsid w:val="00FD7235"/>
    <w:rsid w:val="00FD7508"/>
    <w:rsid w:val="00FD7560"/>
    <w:rsid w:val="00FD78BF"/>
    <w:rsid w:val="00FD7A43"/>
    <w:rsid w:val="00FD7D18"/>
    <w:rsid w:val="00FE0D17"/>
    <w:rsid w:val="00FE12E4"/>
    <w:rsid w:val="00FE1A5E"/>
    <w:rsid w:val="00FE1DB5"/>
    <w:rsid w:val="00FE21E5"/>
    <w:rsid w:val="00FE24BC"/>
    <w:rsid w:val="00FE2B71"/>
    <w:rsid w:val="00FE2FD9"/>
    <w:rsid w:val="00FE308D"/>
    <w:rsid w:val="00FE319E"/>
    <w:rsid w:val="00FE3204"/>
    <w:rsid w:val="00FE3903"/>
    <w:rsid w:val="00FE395D"/>
    <w:rsid w:val="00FE3F99"/>
    <w:rsid w:val="00FE444E"/>
    <w:rsid w:val="00FE4CEF"/>
    <w:rsid w:val="00FE523F"/>
    <w:rsid w:val="00FE52F3"/>
    <w:rsid w:val="00FE5443"/>
    <w:rsid w:val="00FE54DF"/>
    <w:rsid w:val="00FE5B1D"/>
    <w:rsid w:val="00FE5D1F"/>
    <w:rsid w:val="00FE5E43"/>
    <w:rsid w:val="00FE5FB1"/>
    <w:rsid w:val="00FE6444"/>
    <w:rsid w:val="00FE64F1"/>
    <w:rsid w:val="00FE6B54"/>
    <w:rsid w:val="00FE6F8B"/>
    <w:rsid w:val="00FE77D9"/>
    <w:rsid w:val="00FF02C8"/>
    <w:rsid w:val="00FF0485"/>
    <w:rsid w:val="00FF05BC"/>
    <w:rsid w:val="00FF0B1D"/>
    <w:rsid w:val="00FF0CBA"/>
    <w:rsid w:val="00FF1D2F"/>
    <w:rsid w:val="00FF2180"/>
    <w:rsid w:val="00FF23CC"/>
    <w:rsid w:val="00FF23DB"/>
    <w:rsid w:val="00FF277B"/>
    <w:rsid w:val="00FF30A7"/>
    <w:rsid w:val="00FF34A8"/>
    <w:rsid w:val="00FF3CE7"/>
    <w:rsid w:val="00FF41DF"/>
    <w:rsid w:val="00FF443A"/>
    <w:rsid w:val="00FF4568"/>
    <w:rsid w:val="00FF47B6"/>
    <w:rsid w:val="00FF4E34"/>
    <w:rsid w:val="00FF4F98"/>
    <w:rsid w:val="00FF580E"/>
    <w:rsid w:val="00FF5886"/>
    <w:rsid w:val="00FF5BC2"/>
    <w:rsid w:val="00FF5D70"/>
    <w:rsid w:val="00FF61C4"/>
    <w:rsid w:val="00FF6332"/>
    <w:rsid w:val="00FF647B"/>
    <w:rsid w:val="00FF66FD"/>
    <w:rsid w:val="00FF6B06"/>
    <w:rsid w:val="00FF6C47"/>
    <w:rsid w:val="00FF6DA3"/>
    <w:rsid w:val="00FF6ECC"/>
    <w:rsid w:val="00FF75CF"/>
    <w:rsid w:val="00FF79C4"/>
    <w:rsid w:val="00FF7A7E"/>
    <w:rsid w:val="00FF7C4A"/>
    <w:rsid w:val="00FF7DC9"/>
    <w:rsid w:val="00FF7E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4AA3F"/>
  <w15:chartTrackingRefBased/>
  <w15:docId w15:val="{6EDB88BD-F8ED-4153-9733-6116F10E1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23C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14C8B"/>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0E4DC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72F"/>
    <w:pPr>
      <w:tabs>
        <w:tab w:val="center" w:pos="4680"/>
        <w:tab w:val="right" w:pos="9360"/>
      </w:tabs>
    </w:pPr>
  </w:style>
  <w:style w:type="character" w:customStyle="1" w:styleId="HeaderChar">
    <w:name w:val="Header Char"/>
    <w:basedOn w:val="DefaultParagraphFont"/>
    <w:link w:val="Header"/>
    <w:uiPriority w:val="99"/>
    <w:rsid w:val="0054172F"/>
  </w:style>
  <w:style w:type="paragraph" w:styleId="Footer">
    <w:name w:val="footer"/>
    <w:basedOn w:val="Normal"/>
    <w:link w:val="FooterChar"/>
    <w:uiPriority w:val="99"/>
    <w:unhideWhenUsed/>
    <w:rsid w:val="0054172F"/>
    <w:pPr>
      <w:tabs>
        <w:tab w:val="center" w:pos="4680"/>
        <w:tab w:val="right" w:pos="9360"/>
      </w:tabs>
    </w:pPr>
  </w:style>
  <w:style w:type="character" w:customStyle="1" w:styleId="FooterChar">
    <w:name w:val="Footer Char"/>
    <w:basedOn w:val="DefaultParagraphFont"/>
    <w:link w:val="Footer"/>
    <w:uiPriority w:val="99"/>
    <w:rsid w:val="0054172F"/>
  </w:style>
  <w:style w:type="paragraph" w:styleId="BalloonText">
    <w:name w:val="Balloon Text"/>
    <w:basedOn w:val="Normal"/>
    <w:link w:val="BalloonTextChar"/>
    <w:uiPriority w:val="99"/>
    <w:semiHidden/>
    <w:unhideWhenUsed/>
    <w:rsid w:val="0054172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4172F"/>
    <w:rPr>
      <w:rFonts w:ascii="Times New Roman" w:hAnsi="Times New Roman" w:cs="Times New Roman"/>
      <w:sz w:val="18"/>
      <w:szCs w:val="18"/>
    </w:rPr>
  </w:style>
  <w:style w:type="table" w:styleId="TableGrid">
    <w:name w:val="Table Grid"/>
    <w:basedOn w:val="TableNormal"/>
    <w:uiPriority w:val="59"/>
    <w:rsid w:val="00351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277187"/>
  </w:style>
  <w:style w:type="paragraph" w:styleId="ListParagraph">
    <w:name w:val="List Paragraph"/>
    <w:aliases w:val="EX Bullet"/>
    <w:basedOn w:val="Normal"/>
    <w:link w:val="ListParagraphChar"/>
    <w:uiPriority w:val="34"/>
    <w:qFormat/>
    <w:rsid w:val="00A45441"/>
    <w:pPr>
      <w:ind w:left="720"/>
      <w:contextualSpacing/>
    </w:pPr>
  </w:style>
  <w:style w:type="character" w:styleId="Hyperlink">
    <w:name w:val="Hyperlink"/>
    <w:basedOn w:val="DefaultParagraphFont"/>
    <w:uiPriority w:val="99"/>
    <w:unhideWhenUsed/>
    <w:rsid w:val="004B12ED"/>
    <w:rPr>
      <w:color w:val="0563C1" w:themeColor="hyperlink"/>
      <w:u w:val="single"/>
    </w:rPr>
  </w:style>
  <w:style w:type="character" w:styleId="UnresolvedMention">
    <w:name w:val="Unresolved Mention"/>
    <w:basedOn w:val="DefaultParagraphFont"/>
    <w:uiPriority w:val="99"/>
    <w:semiHidden/>
    <w:unhideWhenUsed/>
    <w:rsid w:val="004B12ED"/>
    <w:rPr>
      <w:color w:val="605E5C"/>
      <w:shd w:val="clear" w:color="auto" w:fill="E1DFDD"/>
    </w:rPr>
  </w:style>
  <w:style w:type="character" w:customStyle="1" w:styleId="ListParagraphChar">
    <w:name w:val="List Paragraph Char"/>
    <w:aliases w:val="EX Bullet Char"/>
    <w:link w:val="ListParagraph"/>
    <w:uiPriority w:val="34"/>
    <w:locked/>
    <w:rsid w:val="002931ED"/>
  </w:style>
  <w:style w:type="paragraph" w:customStyle="1" w:styleId="DehPressRelease">
    <w:name w:val="Deh_Press_Release"/>
    <w:basedOn w:val="Normal"/>
    <w:link w:val="DehPressReleaseChar"/>
    <w:qFormat/>
    <w:rsid w:val="004E7CE8"/>
    <w:pPr>
      <w:spacing w:after="160" w:line="259" w:lineRule="auto"/>
    </w:pPr>
    <w:rPr>
      <w:rFonts w:ascii="Ping LCG Regular" w:hAnsi="Ping LCG Regular"/>
      <w:sz w:val="22"/>
      <w:szCs w:val="28"/>
      <w:lang w:val="el-GR"/>
    </w:rPr>
  </w:style>
  <w:style w:type="character" w:customStyle="1" w:styleId="DehPressReleaseChar">
    <w:name w:val="Deh_Press_Release Char"/>
    <w:basedOn w:val="DefaultParagraphFont"/>
    <w:link w:val="DehPressRelease"/>
    <w:rsid w:val="004E7CE8"/>
    <w:rPr>
      <w:rFonts w:ascii="Ping LCG Regular" w:hAnsi="Ping LCG Regular"/>
      <w:sz w:val="22"/>
      <w:szCs w:val="28"/>
      <w:lang w:val="el-GR"/>
    </w:rPr>
  </w:style>
  <w:style w:type="character" w:styleId="CommentReference">
    <w:name w:val="annotation reference"/>
    <w:basedOn w:val="DefaultParagraphFont"/>
    <w:uiPriority w:val="99"/>
    <w:semiHidden/>
    <w:unhideWhenUsed/>
    <w:rsid w:val="004E7CE8"/>
    <w:rPr>
      <w:sz w:val="16"/>
      <w:szCs w:val="16"/>
    </w:rPr>
  </w:style>
  <w:style w:type="paragraph" w:styleId="CommentText">
    <w:name w:val="annotation text"/>
    <w:basedOn w:val="Normal"/>
    <w:link w:val="CommentTextChar"/>
    <w:uiPriority w:val="99"/>
    <w:unhideWhenUsed/>
    <w:rsid w:val="004E7CE8"/>
    <w:rPr>
      <w:sz w:val="20"/>
      <w:szCs w:val="20"/>
    </w:rPr>
  </w:style>
  <w:style w:type="character" w:customStyle="1" w:styleId="CommentTextChar">
    <w:name w:val="Comment Text Char"/>
    <w:basedOn w:val="DefaultParagraphFont"/>
    <w:link w:val="CommentText"/>
    <w:uiPriority w:val="99"/>
    <w:rsid w:val="004E7CE8"/>
    <w:rPr>
      <w:sz w:val="20"/>
      <w:szCs w:val="20"/>
    </w:rPr>
  </w:style>
  <w:style w:type="paragraph" w:styleId="Revision">
    <w:name w:val="Revision"/>
    <w:hidden/>
    <w:uiPriority w:val="99"/>
    <w:semiHidden/>
    <w:rsid w:val="00333A95"/>
  </w:style>
  <w:style w:type="paragraph" w:styleId="FootnoteText">
    <w:name w:val="footnote text"/>
    <w:basedOn w:val="Normal"/>
    <w:link w:val="FootnoteTextChar"/>
    <w:uiPriority w:val="99"/>
    <w:unhideWhenUsed/>
    <w:rsid w:val="00B038DD"/>
    <w:rPr>
      <w:rFonts w:ascii="Ping LCG Regular" w:hAnsi="Ping LCG Regular" w:cs="Times New Roman (Body CS)"/>
      <w:sz w:val="20"/>
      <w:szCs w:val="20"/>
    </w:rPr>
  </w:style>
  <w:style w:type="character" w:customStyle="1" w:styleId="FootnoteTextChar">
    <w:name w:val="Footnote Text Char"/>
    <w:basedOn w:val="DefaultParagraphFont"/>
    <w:link w:val="FootnoteText"/>
    <w:uiPriority w:val="99"/>
    <w:rsid w:val="00B038DD"/>
    <w:rPr>
      <w:rFonts w:ascii="Ping LCG Regular" w:hAnsi="Ping LCG Regular" w:cs="Times New Roman (Body CS)"/>
      <w:sz w:val="20"/>
      <w:szCs w:val="20"/>
    </w:rPr>
  </w:style>
  <w:style w:type="character" w:styleId="FootnoteReference">
    <w:name w:val="footnote reference"/>
    <w:basedOn w:val="DefaultParagraphFont"/>
    <w:uiPriority w:val="99"/>
    <w:unhideWhenUsed/>
    <w:rsid w:val="00B038DD"/>
    <w:rPr>
      <w:vertAlign w:val="superscript"/>
    </w:rPr>
  </w:style>
  <w:style w:type="paragraph" w:styleId="NormalWeb">
    <w:name w:val="Normal (Web)"/>
    <w:basedOn w:val="Normal"/>
    <w:uiPriority w:val="99"/>
    <w:unhideWhenUsed/>
    <w:rsid w:val="0052195E"/>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714C8B"/>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semiHidden/>
    <w:rsid w:val="000E4DC2"/>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DB23C8"/>
    <w:rPr>
      <w:rFonts w:asciiTheme="majorHAnsi" w:eastAsiaTheme="majorEastAsia" w:hAnsiTheme="majorHAnsi" w:cstheme="majorBidi"/>
      <w:color w:val="2F5496" w:themeColor="accent1" w:themeShade="BF"/>
      <w:sz w:val="32"/>
      <w:szCs w:val="32"/>
    </w:rPr>
  </w:style>
  <w:style w:type="paragraph" w:styleId="CommentSubject">
    <w:name w:val="annotation subject"/>
    <w:basedOn w:val="CommentText"/>
    <w:next w:val="CommentText"/>
    <w:link w:val="CommentSubjectChar"/>
    <w:uiPriority w:val="99"/>
    <w:semiHidden/>
    <w:unhideWhenUsed/>
    <w:rsid w:val="00805744"/>
    <w:rPr>
      <w:b/>
      <w:bCs/>
    </w:rPr>
  </w:style>
  <w:style w:type="character" w:customStyle="1" w:styleId="CommentSubjectChar">
    <w:name w:val="Comment Subject Char"/>
    <w:basedOn w:val="CommentTextChar"/>
    <w:link w:val="CommentSubject"/>
    <w:uiPriority w:val="99"/>
    <w:semiHidden/>
    <w:rsid w:val="00805744"/>
    <w:rPr>
      <w:b/>
      <w:bCs/>
      <w:sz w:val="20"/>
      <w:szCs w:val="20"/>
    </w:rPr>
  </w:style>
  <w:style w:type="paragraph" w:customStyle="1" w:styleId="Default">
    <w:name w:val="Default"/>
    <w:rsid w:val="00900F60"/>
    <w:pPr>
      <w:autoSpaceDE w:val="0"/>
      <w:autoSpaceDN w:val="0"/>
      <w:adjustRightInd w:val="0"/>
    </w:pPr>
    <w:rPr>
      <w:rFonts w:ascii="Ping LCG Regular" w:hAnsi="Ping LCG Regular" w:cs="Ping LCG Regular"/>
      <w:color w:val="000000"/>
    </w:rPr>
  </w:style>
  <w:style w:type="character" w:styleId="Strong">
    <w:name w:val="Strong"/>
    <w:basedOn w:val="DefaultParagraphFont"/>
    <w:uiPriority w:val="22"/>
    <w:qFormat/>
    <w:rsid w:val="00286D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24757">
      <w:bodyDiv w:val="1"/>
      <w:marLeft w:val="0"/>
      <w:marRight w:val="0"/>
      <w:marTop w:val="0"/>
      <w:marBottom w:val="0"/>
      <w:divBdr>
        <w:top w:val="none" w:sz="0" w:space="0" w:color="auto"/>
        <w:left w:val="none" w:sz="0" w:space="0" w:color="auto"/>
        <w:bottom w:val="none" w:sz="0" w:space="0" w:color="auto"/>
        <w:right w:val="none" w:sz="0" w:space="0" w:color="auto"/>
      </w:divBdr>
    </w:div>
    <w:div w:id="114370775">
      <w:bodyDiv w:val="1"/>
      <w:marLeft w:val="0"/>
      <w:marRight w:val="0"/>
      <w:marTop w:val="0"/>
      <w:marBottom w:val="0"/>
      <w:divBdr>
        <w:top w:val="none" w:sz="0" w:space="0" w:color="auto"/>
        <w:left w:val="none" w:sz="0" w:space="0" w:color="auto"/>
        <w:bottom w:val="none" w:sz="0" w:space="0" w:color="auto"/>
        <w:right w:val="none" w:sz="0" w:space="0" w:color="auto"/>
      </w:divBdr>
    </w:div>
    <w:div w:id="140974930">
      <w:bodyDiv w:val="1"/>
      <w:marLeft w:val="0"/>
      <w:marRight w:val="0"/>
      <w:marTop w:val="0"/>
      <w:marBottom w:val="0"/>
      <w:divBdr>
        <w:top w:val="none" w:sz="0" w:space="0" w:color="auto"/>
        <w:left w:val="none" w:sz="0" w:space="0" w:color="auto"/>
        <w:bottom w:val="none" w:sz="0" w:space="0" w:color="auto"/>
        <w:right w:val="none" w:sz="0" w:space="0" w:color="auto"/>
      </w:divBdr>
    </w:div>
    <w:div w:id="292055409">
      <w:bodyDiv w:val="1"/>
      <w:marLeft w:val="0"/>
      <w:marRight w:val="0"/>
      <w:marTop w:val="0"/>
      <w:marBottom w:val="0"/>
      <w:divBdr>
        <w:top w:val="none" w:sz="0" w:space="0" w:color="auto"/>
        <w:left w:val="none" w:sz="0" w:space="0" w:color="auto"/>
        <w:bottom w:val="none" w:sz="0" w:space="0" w:color="auto"/>
        <w:right w:val="none" w:sz="0" w:space="0" w:color="auto"/>
      </w:divBdr>
    </w:div>
    <w:div w:id="308441108">
      <w:bodyDiv w:val="1"/>
      <w:marLeft w:val="0"/>
      <w:marRight w:val="0"/>
      <w:marTop w:val="0"/>
      <w:marBottom w:val="0"/>
      <w:divBdr>
        <w:top w:val="none" w:sz="0" w:space="0" w:color="auto"/>
        <w:left w:val="none" w:sz="0" w:space="0" w:color="auto"/>
        <w:bottom w:val="none" w:sz="0" w:space="0" w:color="auto"/>
        <w:right w:val="none" w:sz="0" w:space="0" w:color="auto"/>
      </w:divBdr>
      <w:divsChild>
        <w:div w:id="131869246">
          <w:marLeft w:val="331"/>
          <w:marRight w:val="0"/>
          <w:marTop w:val="0"/>
          <w:marBottom w:val="120"/>
          <w:divBdr>
            <w:top w:val="none" w:sz="0" w:space="0" w:color="auto"/>
            <w:left w:val="none" w:sz="0" w:space="0" w:color="auto"/>
            <w:bottom w:val="none" w:sz="0" w:space="0" w:color="auto"/>
            <w:right w:val="none" w:sz="0" w:space="0" w:color="auto"/>
          </w:divBdr>
        </w:div>
      </w:divsChild>
    </w:div>
    <w:div w:id="337075133">
      <w:bodyDiv w:val="1"/>
      <w:marLeft w:val="0"/>
      <w:marRight w:val="0"/>
      <w:marTop w:val="0"/>
      <w:marBottom w:val="0"/>
      <w:divBdr>
        <w:top w:val="none" w:sz="0" w:space="0" w:color="auto"/>
        <w:left w:val="none" w:sz="0" w:space="0" w:color="auto"/>
        <w:bottom w:val="none" w:sz="0" w:space="0" w:color="auto"/>
        <w:right w:val="none" w:sz="0" w:space="0" w:color="auto"/>
      </w:divBdr>
    </w:div>
    <w:div w:id="354501828">
      <w:bodyDiv w:val="1"/>
      <w:marLeft w:val="0"/>
      <w:marRight w:val="0"/>
      <w:marTop w:val="0"/>
      <w:marBottom w:val="0"/>
      <w:divBdr>
        <w:top w:val="none" w:sz="0" w:space="0" w:color="auto"/>
        <w:left w:val="none" w:sz="0" w:space="0" w:color="auto"/>
        <w:bottom w:val="none" w:sz="0" w:space="0" w:color="auto"/>
        <w:right w:val="none" w:sz="0" w:space="0" w:color="auto"/>
      </w:divBdr>
    </w:div>
    <w:div w:id="366367960">
      <w:bodyDiv w:val="1"/>
      <w:marLeft w:val="0"/>
      <w:marRight w:val="0"/>
      <w:marTop w:val="0"/>
      <w:marBottom w:val="0"/>
      <w:divBdr>
        <w:top w:val="none" w:sz="0" w:space="0" w:color="auto"/>
        <w:left w:val="none" w:sz="0" w:space="0" w:color="auto"/>
        <w:bottom w:val="none" w:sz="0" w:space="0" w:color="auto"/>
        <w:right w:val="none" w:sz="0" w:space="0" w:color="auto"/>
      </w:divBdr>
    </w:div>
    <w:div w:id="420415496">
      <w:bodyDiv w:val="1"/>
      <w:marLeft w:val="0"/>
      <w:marRight w:val="0"/>
      <w:marTop w:val="0"/>
      <w:marBottom w:val="0"/>
      <w:divBdr>
        <w:top w:val="none" w:sz="0" w:space="0" w:color="auto"/>
        <w:left w:val="none" w:sz="0" w:space="0" w:color="auto"/>
        <w:bottom w:val="none" w:sz="0" w:space="0" w:color="auto"/>
        <w:right w:val="none" w:sz="0" w:space="0" w:color="auto"/>
      </w:divBdr>
      <w:divsChild>
        <w:div w:id="1812558596">
          <w:marLeft w:val="0"/>
          <w:marRight w:val="0"/>
          <w:marTop w:val="0"/>
          <w:marBottom w:val="0"/>
          <w:divBdr>
            <w:top w:val="none" w:sz="0" w:space="0" w:color="auto"/>
            <w:left w:val="none" w:sz="0" w:space="0" w:color="auto"/>
            <w:bottom w:val="none" w:sz="0" w:space="0" w:color="auto"/>
            <w:right w:val="none" w:sz="0" w:space="0" w:color="auto"/>
          </w:divBdr>
        </w:div>
      </w:divsChild>
    </w:div>
    <w:div w:id="454102455">
      <w:bodyDiv w:val="1"/>
      <w:marLeft w:val="0"/>
      <w:marRight w:val="0"/>
      <w:marTop w:val="0"/>
      <w:marBottom w:val="0"/>
      <w:divBdr>
        <w:top w:val="none" w:sz="0" w:space="0" w:color="auto"/>
        <w:left w:val="none" w:sz="0" w:space="0" w:color="auto"/>
        <w:bottom w:val="none" w:sz="0" w:space="0" w:color="auto"/>
        <w:right w:val="none" w:sz="0" w:space="0" w:color="auto"/>
      </w:divBdr>
    </w:div>
    <w:div w:id="493494519">
      <w:bodyDiv w:val="1"/>
      <w:marLeft w:val="0"/>
      <w:marRight w:val="0"/>
      <w:marTop w:val="0"/>
      <w:marBottom w:val="0"/>
      <w:divBdr>
        <w:top w:val="none" w:sz="0" w:space="0" w:color="auto"/>
        <w:left w:val="none" w:sz="0" w:space="0" w:color="auto"/>
        <w:bottom w:val="none" w:sz="0" w:space="0" w:color="auto"/>
        <w:right w:val="none" w:sz="0" w:space="0" w:color="auto"/>
      </w:divBdr>
    </w:div>
    <w:div w:id="568806389">
      <w:bodyDiv w:val="1"/>
      <w:marLeft w:val="0"/>
      <w:marRight w:val="0"/>
      <w:marTop w:val="0"/>
      <w:marBottom w:val="0"/>
      <w:divBdr>
        <w:top w:val="none" w:sz="0" w:space="0" w:color="auto"/>
        <w:left w:val="none" w:sz="0" w:space="0" w:color="auto"/>
        <w:bottom w:val="none" w:sz="0" w:space="0" w:color="auto"/>
        <w:right w:val="none" w:sz="0" w:space="0" w:color="auto"/>
      </w:divBdr>
    </w:div>
    <w:div w:id="569266604">
      <w:bodyDiv w:val="1"/>
      <w:marLeft w:val="0"/>
      <w:marRight w:val="0"/>
      <w:marTop w:val="0"/>
      <w:marBottom w:val="0"/>
      <w:divBdr>
        <w:top w:val="none" w:sz="0" w:space="0" w:color="auto"/>
        <w:left w:val="none" w:sz="0" w:space="0" w:color="auto"/>
        <w:bottom w:val="none" w:sz="0" w:space="0" w:color="auto"/>
        <w:right w:val="none" w:sz="0" w:space="0" w:color="auto"/>
      </w:divBdr>
    </w:div>
    <w:div w:id="617954657">
      <w:bodyDiv w:val="1"/>
      <w:marLeft w:val="0"/>
      <w:marRight w:val="0"/>
      <w:marTop w:val="0"/>
      <w:marBottom w:val="0"/>
      <w:divBdr>
        <w:top w:val="none" w:sz="0" w:space="0" w:color="auto"/>
        <w:left w:val="none" w:sz="0" w:space="0" w:color="auto"/>
        <w:bottom w:val="none" w:sz="0" w:space="0" w:color="auto"/>
        <w:right w:val="none" w:sz="0" w:space="0" w:color="auto"/>
      </w:divBdr>
    </w:div>
    <w:div w:id="662901915">
      <w:bodyDiv w:val="1"/>
      <w:marLeft w:val="0"/>
      <w:marRight w:val="0"/>
      <w:marTop w:val="0"/>
      <w:marBottom w:val="0"/>
      <w:divBdr>
        <w:top w:val="none" w:sz="0" w:space="0" w:color="auto"/>
        <w:left w:val="none" w:sz="0" w:space="0" w:color="auto"/>
        <w:bottom w:val="none" w:sz="0" w:space="0" w:color="auto"/>
        <w:right w:val="none" w:sz="0" w:space="0" w:color="auto"/>
      </w:divBdr>
    </w:div>
    <w:div w:id="699743875">
      <w:bodyDiv w:val="1"/>
      <w:marLeft w:val="0"/>
      <w:marRight w:val="0"/>
      <w:marTop w:val="0"/>
      <w:marBottom w:val="0"/>
      <w:divBdr>
        <w:top w:val="none" w:sz="0" w:space="0" w:color="auto"/>
        <w:left w:val="none" w:sz="0" w:space="0" w:color="auto"/>
        <w:bottom w:val="none" w:sz="0" w:space="0" w:color="auto"/>
        <w:right w:val="none" w:sz="0" w:space="0" w:color="auto"/>
      </w:divBdr>
    </w:div>
    <w:div w:id="706640371">
      <w:bodyDiv w:val="1"/>
      <w:marLeft w:val="0"/>
      <w:marRight w:val="0"/>
      <w:marTop w:val="0"/>
      <w:marBottom w:val="0"/>
      <w:divBdr>
        <w:top w:val="none" w:sz="0" w:space="0" w:color="auto"/>
        <w:left w:val="none" w:sz="0" w:space="0" w:color="auto"/>
        <w:bottom w:val="none" w:sz="0" w:space="0" w:color="auto"/>
        <w:right w:val="none" w:sz="0" w:space="0" w:color="auto"/>
      </w:divBdr>
    </w:div>
    <w:div w:id="784618012">
      <w:bodyDiv w:val="1"/>
      <w:marLeft w:val="0"/>
      <w:marRight w:val="0"/>
      <w:marTop w:val="0"/>
      <w:marBottom w:val="0"/>
      <w:divBdr>
        <w:top w:val="none" w:sz="0" w:space="0" w:color="auto"/>
        <w:left w:val="none" w:sz="0" w:space="0" w:color="auto"/>
        <w:bottom w:val="none" w:sz="0" w:space="0" w:color="auto"/>
        <w:right w:val="none" w:sz="0" w:space="0" w:color="auto"/>
      </w:divBdr>
    </w:div>
    <w:div w:id="787044493">
      <w:bodyDiv w:val="1"/>
      <w:marLeft w:val="0"/>
      <w:marRight w:val="0"/>
      <w:marTop w:val="0"/>
      <w:marBottom w:val="0"/>
      <w:divBdr>
        <w:top w:val="none" w:sz="0" w:space="0" w:color="auto"/>
        <w:left w:val="none" w:sz="0" w:space="0" w:color="auto"/>
        <w:bottom w:val="none" w:sz="0" w:space="0" w:color="auto"/>
        <w:right w:val="none" w:sz="0" w:space="0" w:color="auto"/>
      </w:divBdr>
    </w:div>
    <w:div w:id="885221275">
      <w:bodyDiv w:val="1"/>
      <w:marLeft w:val="0"/>
      <w:marRight w:val="0"/>
      <w:marTop w:val="0"/>
      <w:marBottom w:val="0"/>
      <w:divBdr>
        <w:top w:val="none" w:sz="0" w:space="0" w:color="auto"/>
        <w:left w:val="none" w:sz="0" w:space="0" w:color="auto"/>
        <w:bottom w:val="none" w:sz="0" w:space="0" w:color="auto"/>
        <w:right w:val="none" w:sz="0" w:space="0" w:color="auto"/>
      </w:divBdr>
    </w:div>
    <w:div w:id="886261948">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sChild>
    </w:div>
    <w:div w:id="933248448">
      <w:bodyDiv w:val="1"/>
      <w:marLeft w:val="0"/>
      <w:marRight w:val="0"/>
      <w:marTop w:val="0"/>
      <w:marBottom w:val="0"/>
      <w:divBdr>
        <w:top w:val="none" w:sz="0" w:space="0" w:color="auto"/>
        <w:left w:val="none" w:sz="0" w:space="0" w:color="auto"/>
        <w:bottom w:val="none" w:sz="0" w:space="0" w:color="auto"/>
        <w:right w:val="none" w:sz="0" w:space="0" w:color="auto"/>
      </w:divBdr>
    </w:div>
    <w:div w:id="986278969">
      <w:bodyDiv w:val="1"/>
      <w:marLeft w:val="0"/>
      <w:marRight w:val="0"/>
      <w:marTop w:val="0"/>
      <w:marBottom w:val="0"/>
      <w:divBdr>
        <w:top w:val="none" w:sz="0" w:space="0" w:color="auto"/>
        <w:left w:val="none" w:sz="0" w:space="0" w:color="auto"/>
        <w:bottom w:val="none" w:sz="0" w:space="0" w:color="auto"/>
        <w:right w:val="none" w:sz="0" w:space="0" w:color="auto"/>
      </w:divBdr>
    </w:div>
    <w:div w:id="1007514072">
      <w:bodyDiv w:val="1"/>
      <w:marLeft w:val="0"/>
      <w:marRight w:val="0"/>
      <w:marTop w:val="0"/>
      <w:marBottom w:val="0"/>
      <w:divBdr>
        <w:top w:val="none" w:sz="0" w:space="0" w:color="auto"/>
        <w:left w:val="none" w:sz="0" w:space="0" w:color="auto"/>
        <w:bottom w:val="none" w:sz="0" w:space="0" w:color="auto"/>
        <w:right w:val="none" w:sz="0" w:space="0" w:color="auto"/>
      </w:divBdr>
      <w:divsChild>
        <w:div w:id="1861315963">
          <w:marLeft w:val="331"/>
          <w:marRight w:val="0"/>
          <w:marTop w:val="0"/>
          <w:marBottom w:val="120"/>
          <w:divBdr>
            <w:top w:val="none" w:sz="0" w:space="0" w:color="auto"/>
            <w:left w:val="none" w:sz="0" w:space="0" w:color="auto"/>
            <w:bottom w:val="none" w:sz="0" w:space="0" w:color="auto"/>
            <w:right w:val="none" w:sz="0" w:space="0" w:color="auto"/>
          </w:divBdr>
        </w:div>
      </w:divsChild>
    </w:div>
    <w:div w:id="1012561424">
      <w:bodyDiv w:val="1"/>
      <w:marLeft w:val="0"/>
      <w:marRight w:val="0"/>
      <w:marTop w:val="0"/>
      <w:marBottom w:val="0"/>
      <w:divBdr>
        <w:top w:val="none" w:sz="0" w:space="0" w:color="auto"/>
        <w:left w:val="none" w:sz="0" w:space="0" w:color="auto"/>
        <w:bottom w:val="none" w:sz="0" w:space="0" w:color="auto"/>
        <w:right w:val="none" w:sz="0" w:space="0" w:color="auto"/>
      </w:divBdr>
    </w:div>
    <w:div w:id="1083063022">
      <w:bodyDiv w:val="1"/>
      <w:marLeft w:val="0"/>
      <w:marRight w:val="0"/>
      <w:marTop w:val="0"/>
      <w:marBottom w:val="0"/>
      <w:divBdr>
        <w:top w:val="none" w:sz="0" w:space="0" w:color="auto"/>
        <w:left w:val="none" w:sz="0" w:space="0" w:color="auto"/>
        <w:bottom w:val="none" w:sz="0" w:space="0" w:color="auto"/>
        <w:right w:val="none" w:sz="0" w:space="0" w:color="auto"/>
      </w:divBdr>
    </w:div>
    <w:div w:id="1144007045">
      <w:bodyDiv w:val="1"/>
      <w:marLeft w:val="0"/>
      <w:marRight w:val="0"/>
      <w:marTop w:val="0"/>
      <w:marBottom w:val="0"/>
      <w:divBdr>
        <w:top w:val="none" w:sz="0" w:space="0" w:color="auto"/>
        <w:left w:val="none" w:sz="0" w:space="0" w:color="auto"/>
        <w:bottom w:val="none" w:sz="0" w:space="0" w:color="auto"/>
        <w:right w:val="none" w:sz="0" w:space="0" w:color="auto"/>
      </w:divBdr>
    </w:div>
    <w:div w:id="1165121455">
      <w:bodyDiv w:val="1"/>
      <w:marLeft w:val="0"/>
      <w:marRight w:val="0"/>
      <w:marTop w:val="0"/>
      <w:marBottom w:val="0"/>
      <w:divBdr>
        <w:top w:val="none" w:sz="0" w:space="0" w:color="auto"/>
        <w:left w:val="none" w:sz="0" w:space="0" w:color="auto"/>
        <w:bottom w:val="none" w:sz="0" w:space="0" w:color="auto"/>
        <w:right w:val="none" w:sz="0" w:space="0" w:color="auto"/>
      </w:divBdr>
      <w:divsChild>
        <w:div w:id="1700743929">
          <w:marLeft w:val="0"/>
          <w:marRight w:val="0"/>
          <w:marTop w:val="0"/>
          <w:marBottom w:val="0"/>
          <w:divBdr>
            <w:top w:val="none" w:sz="0" w:space="0" w:color="auto"/>
            <w:left w:val="none" w:sz="0" w:space="0" w:color="auto"/>
            <w:bottom w:val="none" w:sz="0" w:space="0" w:color="auto"/>
            <w:right w:val="none" w:sz="0" w:space="0" w:color="auto"/>
          </w:divBdr>
        </w:div>
      </w:divsChild>
    </w:div>
    <w:div w:id="1200629653">
      <w:bodyDiv w:val="1"/>
      <w:marLeft w:val="0"/>
      <w:marRight w:val="0"/>
      <w:marTop w:val="0"/>
      <w:marBottom w:val="0"/>
      <w:divBdr>
        <w:top w:val="none" w:sz="0" w:space="0" w:color="auto"/>
        <w:left w:val="none" w:sz="0" w:space="0" w:color="auto"/>
        <w:bottom w:val="none" w:sz="0" w:space="0" w:color="auto"/>
        <w:right w:val="none" w:sz="0" w:space="0" w:color="auto"/>
      </w:divBdr>
    </w:div>
    <w:div w:id="1275864989">
      <w:bodyDiv w:val="1"/>
      <w:marLeft w:val="0"/>
      <w:marRight w:val="0"/>
      <w:marTop w:val="0"/>
      <w:marBottom w:val="0"/>
      <w:divBdr>
        <w:top w:val="none" w:sz="0" w:space="0" w:color="auto"/>
        <w:left w:val="none" w:sz="0" w:space="0" w:color="auto"/>
        <w:bottom w:val="none" w:sz="0" w:space="0" w:color="auto"/>
        <w:right w:val="none" w:sz="0" w:space="0" w:color="auto"/>
      </w:divBdr>
    </w:div>
    <w:div w:id="1277904657">
      <w:bodyDiv w:val="1"/>
      <w:marLeft w:val="0"/>
      <w:marRight w:val="0"/>
      <w:marTop w:val="0"/>
      <w:marBottom w:val="0"/>
      <w:divBdr>
        <w:top w:val="none" w:sz="0" w:space="0" w:color="auto"/>
        <w:left w:val="none" w:sz="0" w:space="0" w:color="auto"/>
        <w:bottom w:val="none" w:sz="0" w:space="0" w:color="auto"/>
        <w:right w:val="none" w:sz="0" w:space="0" w:color="auto"/>
      </w:divBdr>
    </w:div>
    <w:div w:id="1340693675">
      <w:bodyDiv w:val="1"/>
      <w:marLeft w:val="0"/>
      <w:marRight w:val="0"/>
      <w:marTop w:val="0"/>
      <w:marBottom w:val="0"/>
      <w:divBdr>
        <w:top w:val="none" w:sz="0" w:space="0" w:color="auto"/>
        <w:left w:val="none" w:sz="0" w:space="0" w:color="auto"/>
        <w:bottom w:val="none" w:sz="0" w:space="0" w:color="auto"/>
        <w:right w:val="none" w:sz="0" w:space="0" w:color="auto"/>
      </w:divBdr>
    </w:div>
    <w:div w:id="1340699734">
      <w:bodyDiv w:val="1"/>
      <w:marLeft w:val="0"/>
      <w:marRight w:val="0"/>
      <w:marTop w:val="0"/>
      <w:marBottom w:val="0"/>
      <w:divBdr>
        <w:top w:val="none" w:sz="0" w:space="0" w:color="auto"/>
        <w:left w:val="none" w:sz="0" w:space="0" w:color="auto"/>
        <w:bottom w:val="none" w:sz="0" w:space="0" w:color="auto"/>
        <w:right w:val="none" w:sz="0" w:space="0" w:color="auto"/>
      </w:divBdr>
    </w:div>
    <w:div w:id="1352535597">
      <w:bodyDiv w:val="1"/>
      <w:marLeft w:val="0"/>
      <w:marRight w:val="0"/>
      <w:marTop w:val="0"/>
      <w:marBottom w:val="0"/>
      <w:divBdr>
        <w:top w:val="none" w:sz="0" w:space="0" w:color="auto"/>
        <w:left w:val="none" w:sz="0" w:space="0" w:color="auto"/>
        <w:bottom w:val="none" w:sz="0" w:space="0" w:color="auto"/>
        <w:right w:val="none" w:sz="0" w:space="0" w:color="auto"/>
      </w:divBdr>
    </w:div>
    <w:div w:id="1361391836">
      <w:bodyDiv w:val="1"/>
      <w:marLeft w:val="0"/>
      <w:marRight w:val="0"/>
      <w:marTop w:val="0"/>
      <w:marBottom w:val="0"/>
      <w:divBdr>
        <w:top w:val="none" w:sz="0" w:space="0" w:color="auto"/>
        <w:left w:val="none" w:sz="0" w:space="0" w:color="auto"/>
        <w:bottom w:val="none" w:sz="0" w:space="0" w:color="auto"/>
        <w:right w:val="none" w:sz="0" w:space="0" w:color="auto"/>
      </w:divBdr>
    </w:div>
    <w:div w:id="1422490449">
      <w:bodyDiv w:val="1"/>
      <w:marLeft w:val="0"/>
      <w:marRight w:val="0"/>
      <w:marTop w:val="0"/>
      <w:marBottom w:val="0"/>
      <w:divBdr>
        <w:top w:val="none" w:sz="0" w:space="0" w:color="auto"/>
        <w:left w:val="none" w:sz="0" w:space="0" w:color="auto"/>
        <w:bottom w:val="none" w:sz="0" w:space="0" w:color="auto"/>
        <w:right w:val="none" w:sz="0" w:space="0" w:color="auto"/>
      </w:divBdr>
    </w:div>
    <w:div w:id="1462573577">
      <w:bodyDiv w:val="1"/>
      <w:marLeft w:val="0"/>
      <w:marRight w:val="0"/>
      <w:marTop w:val="0"/>
      <w:marBottom w:val="0"/>
      <w:divBdr>
        <w:top w:val="none" w:sz="0" w:space="0" w:color="auto"/>
        <w:left w:val="none" w:sz="0" w:space="0" w:color="auto"/>
        <w:bottom w:val="none" w:sz="0" w:space="0" w:color="auto"/>
        <w:right w:val="none" w:sz="0" w:space="0" w:color="auto"/>
      </w:divBdr>
    </w:div>
    <w:div w:id="1477724204">
      <w:bodyDiv w:val="1"/>
      <w:marLeft w:val="0"/>
      <w:marRight w:val="0"/>
      <w:marTop w:val="0"/>
      <w:marBottom w:val="0"/>
      <w:divBdr>
        <w:top w:val="none" w:sz="0" w:space="0" w:color="auto"/>
        <w:left w:val="none" w:sz="0" w:space="0" w:color="auto"/>
        <w:bottom w:val="none" w:sz="0" w:space="0" w:color="auto"/>
        <w:right w:val="none" w:sz="0" w:space="0" w:color="auto"/>
      </w:divBdr>
    </w:div>
    <w:div w:id="1507329303">
      <w:bodyDiv w:val="1"/>
      <w:marLeft w:val="0"/>
      <w:marRight w:val="0"/>
      <w:marTop w:val="0"/>
      <w:marBottom w:val="0"/>
      <w:divBdr>
        <w:top w:val="none" w:sz="0" w:space="0" w:color="auto"/>
        <w:left w:val="none" w:sz="0" w:space="0" w:color="auto"/>
        <w:bottom w:val="none" w:sz="0" w:space="0" w:color="auto"/>
        <w:right w:val="none" w:sz="0" w:space="0" w:color="auto"/>
      </w:divBdr>
      <w:divsChild>
        <w:div w:id="679236060">
          <w:marLeft w:val="0"/>
          <w:marRight w:val="0"/>
          <w:marTop w:val="0"/>
          <w:marBottom w:val="0"/>
          <w:divBdr>
            <w:top w:val="none" w:sz="0" w:space="0" w:color="auto"/>
            <w:left w:val="none" w:sz="0" w:space="0" w:color="auto"/>
            <w:bottom w:val="none" w:sz="0" w:space="0" w:color="auto"/>
            <w:right w:val="none" w:sz="0" w:space="0" w:color="auto"/>
          </w:divBdr>
        </w:div>
      </w:divsChild>
    </w:div>
    <w:div w:id="1573084511">
      <w:bodyDiv w:val="1"/>
      <w:marLeft w:val="0"/>
      <w:marRight w:val="0"/>
      <w:marTop w:val="0"/>
      <w:marBottom w:val="0"/>
      <w:divBdr>
        <w:top w:val="none" w:sz="0" w:space="0" w:color="auto"/>
        <w:left w:val="none" w:sz="0" w:space="0" w:color="auto"/>
        <w:bottom w:val="none" w:sz="0" w:space="0" w:color="auto"/>
        <w:right w:val="none" w:sz="0" w:space="0" w:color="auto"/>
      </w:divBdr>
    </w:div>
    <w:div w:id="1597520012">
      <w:bodyDiv w:val="1"/>
      <w:marLeft w:val="0"/>
      <w:marRight w:val="0"/>
      <w:marTop w:val="0"/>
      <w:marBottom w:val="0"/>
      <w:divBdr>
        <w:top w:val="none" w:sz="0" w:space="0" w:color="auto"/>
        <w:left w:val="none" w:sz="0" w:space="0" w:color="auto"/>
        <w:bottom w:val="none" w:sz="0" w:space="0" w:color="auto"/>
        <w:right w:val="none" w:sz="0" w:space="0" w:color="auto"/>
      </w:divBdr>
    </w:div>
    <w:div w:id="1621296734">
      <w:bodyDiv w:val="1"/>
      <w:marLeft w:val="0"/>
      <w:marRight w:val="0"/>
      <w:marTop w:val="0"/>
      <w:marBottom w:val="0"/>
      <w:divBdr>
        <w:top w:val="none" w:sz="0" w:space="0" w:color="auto"/>
        <w:left w:val="none" w:sz="0" w:space="0" w:color="auto"/>
        <w:bottom w:val="none" w:sz="0" w:space="0" w:color="auto"/>
        <w:right w:val="none" w:sz="0" w:space="0" w:color="auto"/>
      </w:divBdr>
    </w:div>
    <w:div w:id="1642727900">
      <w:bodyDiv w:val="1"/>
      <w:marLeft w:val="0"/>
      <w:marRight w:val="0"/>
      <w:marTop w:val="0"/>
      <w:marBottom w:val="0"/>
      <w:divBdr>
        <w:top w:val="none" w:sz="0" w:space="0" w:color="auto"/>
        <w:left w:val="none" w:sz="0" w:space="0" w:color="auto"/>
        <w:bottom w:val="none" w:sz="0" w:space="0" w:color="auto"/>
        <w:right w:val="none" w:sz="0" w:space="0" w:color="auto"/>
      </w:divBdr>
    </w:div>
    <w:div w:id="1740640241">
      <w:bodyDiv w:val="1"/>
      <w:marLeft w:val="0"/>
      <w:marRight w:val="0"/>
      <w:marTop w:val="0"/>
      <w:marBottom w:val="0"/>
      <w:divBdr>
        <w:top w:val="none" w:sz="0" w:space="0" w:color="auto"/>
        <w:left w:val="none" w:sz="0" w:space="0" w:color="auto"/>
        <w:bottom w:val="none" w:sz="0" w:space="0" w:color="auto"/>
        <w:right w:val="none" w:sz="0" w:space="0" w:color="auto"/>
      </w:divBdr>
    </w:div>
    <w:div w:id="1742633651">
      <w:bodyDiv w:val="1"/>
      <w:marLeft w:val="0"/>
      <w:marRight w:val="0"/>
      <w:marTop w:val="0"/>
      <w:marBottom w:val="0"/>
      <w:divBdr>
        <w:top w:val="none" w:sz="0" w:space="0" w:color="auto"/>
        <w:left w:val="none" w:sz="0" w:space="0" w:color="auto"/>
        <w:bottom w:val="none" w:sz="0" w:space="0" w:color="auto"/>
        <w:right w:val="none" w:sz="0" w:space="0" w:color="auto"/>
      </w:divBdr>
    </w:div>
    <w:div w:id="1842507493">
      <w:bodyDiv w:val="1"/>
      <w:marLeft w:val="0"/>
      <w:marRight w:val="0"/>
      <w:marTop w:val="0"/>
      <w:marBottom w:val="0"/>
      <w:divBdr>
        <w:top w:val="none" w:sz="0" w:space="0" w:color="auto"/>
        <w:left w:val="none" w:sz="0" w:space="0" w:color="auto"/>
        <w:bottom w:val="none" w:sz="0" w:space="0" w:color="auto"/>
        <w:right w:val="none" w:sz="0" w:space="0" w:color="auto"/>
      </w:divBdr>
    </w:div>
    <w:div w:id="1847670812">
      <w:bodyDiv w:val="1"/>
      <w:marLeft w:val="0"/>
      <w:marRight w:val="0"/>
      <w:marTop w:val="0"/>
      <w:marBottom w:val="0"/>
      <w:divBdr>
        <w:top w:val="none" w:sz="0" w:space="0" w:color="auto"/>
        <w:left w:val="none" w:sz="0" w:space="0" w:color="auto"/>
        <w:bottom w:val="none" w:sz="0" w:space="0" w:color="auto"/>
        <w:right w:val="none" w:sz="0" w:space="0" w:color="auto"/>
      </w:divBdr>
    </w:div>
    <w:div w:id="1871608530">
      <w:bodyDiv w:val="1"/>
      <w:marLeft w:val="0"/>
      <w:marRight w:val="0"/>
      <w:marTop w:val="0"/>
      <w:marBottom w:val="0"/>
      <w:divBdr>
        <w:top w:val="none" w:sz="0" w:space="0" w:color="auto"/>
        <w:left w:val="none" w:sz="0" w:space="0" w:color="auto"/>
        <w:bottom w:val="none" w:sz="0" w:space="0" w:color="auto"/>
        <w:right w:val="none" w:sz="0" w:space="0" w:color="auto"/>
      </w:divBdr>
    </w:div>
    <w:div w:id="2119829923">
      <w:bodyDiv w:val="1"/>
      <w:marLeft w:val="0"/>
      <w:marRight w:val="0"/>
      <w:marTop w:val="0"/>
      <w:marBottom w:val="0"/>
      <w:divBdr>
        <w:top w:val="none" w:sz="0" w:space="0" w:color="auto"/>
        <w:left w:val="none" w:sz="0" w:space="0" w:color="auto"/>
        <w:bottom w:val="none" w:sz="0" w:space="0" w:color="auto"/>
        <w:right w:val="none" w:sz="0" w:space="0" w:color="auto"/>
      </w:divBdr>
    </w:div>
    <w:div w:id="214014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rmation@dei.gr" TargetMode="External"/><Relationship Id="rId18" Type="http://schemas.openxmlformats.org/officeDocument/2006/relationships/image" Target="media/image6.e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9.emf"/><Relationship Id="rId7" Type="http://schemas.openxmlformats.org/officeDocument/2006/relationships/settings" Target="settings.xml"/><Relationship Id="rId12" Type="http://schemas.openxmlformats.org/officeDocument/2006/relationships/hyperlink" Target="mailto:ir@ppcgroup.com" TargetMode="External"/><Relationship Id="rId17" Type="http://schemas.openxmlformats.org/officeDocument/2006/relationships/image" Target="media/image5.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2.jpg"/></Relationships>
</file>

<file path=word/_rels/footer3.xml.rels><?xml version="1.0" encoding="UTF-8" standalone="yes"?>
<Relationships xmlns="http://schemas.openxmlformats.org/package/2006/relationships"><Relationship Id="rId1" Type="http://schemas.openxmlformats.org/officeDocument/2006/relationships/image" Target="media/image12.jp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1" Type="http://schemas.openxmlformats.org/officeDocument/2006/relationships/image" Target="media/image12.jpg"/></Relationships>
</file>

<file path=word/_rels/header3.xml.rels><?xml version="1.0" encoding="UTF-8" standalone="yes"?>
<Relationships xmlns="http://schemas.openxmlformats.org/package/2006/relationships"><Relationship Id="rId2" Type="http://schemas.openxmlformats.org/officeDocument/2006/relationships/image" Target="media/image12.jpg"/><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e01fe4-ae50-4c57-9906-a3e0af1b3929" xsi:nil="true"/>
    <lcf76f155ced4ddcb4097134ff3c332f xmlns="d4a73344-bfe6-440b-9b69-98a86bbafe6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156DD0188A2F454B943ADEE99353ADCA" ma:contentTypeVersion="20" ma:contentTypeDescription="Δημιουργία νέου εγγράφου" ma:contentTypeScope="" ma:versionID="e39ce4dff06c5d1501f96686d94f339f">
  <xsd:schema xmlns:xsd="http://www.w3.org/2001/XMLSchema" xmlns:xs="http://www.w3.org/2001/XMLSchema" xmlns:p="http://schemas.microsoft.com/office/2006/metadata/properties" xmlns:ns2="d4a73344-bfe6-440b-9b69-98a86bbafe65" xmlns:ns3="a7e01fe4-ae50-4c57-9906-a3e0af1b3929" targetNamespace="http://schemas.microsoft.com/office/2006/metadata/properties" ma:root="true" ma:fieldsID="a9b3cb088f9749417b872dcdc11360e1" ns2:_="" ns3:_="">
    <xsd:import namespace="d4a73344-bfe6-440b-9b69-98a86bbafe65"/>
    <xsd:import namespace="a7e01fe4-ae50-4c57-9906-a3e0af1b392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73344-bfe6-440b-9b69-98a86bbafe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Ετικέτες εικόνας" ma:readOnly="false" ma:fieldId="{5cf76f15-5ced-4ddc-b409-7134ff3c332f}" ma:taxonomyMulti="true" ma:sspId="8e84d12a-bbe8-425e-a1dd-79ebf8e7e8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e01fe4-ae50-4c57-9906-a3e0af1b392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ce3957d-0996-4bd8-adeb-86c932f9cb50}" ma:internalName="TaxCatchAll" ma:showField="CatchAllData" ma:web="a7e01fe4-ae50-4c57-9906-a3e0af1b392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BE97F6-0ADB-4EED-A5EB-CFA6B4A1D925}">
  <ds:schemaRefs>
    <ds:schemaRef ds:uri="http://schemas.microsoft.com/office/2006/metadata/properties"/>
    <ds:schemaRef ds:uri="http://schemas.microsoft.com/office/infopath/2007/PartnerControls"/>
    <ds:schemaRef ds:uri="a7e01fe4-ae50-4c57-9906-a3e0af1b3929"/>
    <ds:schemaRef ds:uri="d4a73344-bfe6-440b-9b69-98a86bbafe65"/>
  </ds:schemaRefs>
</ds:datastoreItem>
</file>

<file path=customXml/itemProps2.xml><?xml version="1.0" encoding="utf-8"?>
<ds:datastoreItem xmlns:ds="http://schemas.openxmlformats.org/officeDocument/2006/customXml" ds:itemID="{58461083-5776-43C4-87C5-C8390D64C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73344-bfe6-440b-9b69-98a86bbafe65"/>
    <ds:schemaRef ds:uri="a7e01fe4-ae50-4c57-9906-a3e0af1b3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2414C3-897F-CA45-994C-929EB21BF4F6}">
  <ds:schemaRefs>
    <ds:schemaRef ds:uri="http://schemas.openxmlformats.org/officeDocument/2006/bibliography"/>
  </ds:schemaRefs>
</ds:datastoreItem>
</file>

<file path=customXml/itemProps4.xml><?xml version="1.0" encoding="utf-8"?>
<ds:datastoreItem xmlns:ds="http://schemas.openxmlformats.org/officeDocument/2006/customXml" ds:itemID="{60FB2FCB-7B41-4761-9AA7-76D41FD382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3312</Words>
  <Characters>17891</Characters>
  <Application>Microsoft Office Word</Application>
  <DocSecurity>0</DocSecurity>
  <Lines>149</Lines>
  <Paragraphs>42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Karachalios Vasileios</cp:lastModifiedBy>
  <cp:revision>6</cp:revision>
  <cp:lastPrinted>2025-08-01T20:41:00Z</cp:lastPrinted>
  <dcterms:created xsi:type="dcterms:W3CDTF">2025-08-06T04:09:00Z</dcterms:created>
  <dcterms:modified xsi:type="dcterms:W3CDTF">2025-08-06T11:56:00Z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0x010100156DD0188A2F454B943ADEE99353ADCA</vt:lpwstr>
  </property>
  <property fmtid="{D5CDD505-2E9C-101B-9397-08002B2CF9AE}" pid="3" name="MediaServiceImageTags">
    <vt:lpwstr/>
  </property>
</Properties>
</file>